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02" w:rsidRDefault="00100C0F">
      <w:pPr>
        <w:spacing w:line="360" w:lineRule="auto"/>
        <w:ind w:firstLineChars="200" w:firstLine="560"/>
        <w:rPr>
          <w:b/>
          <w:color w:val="000000" w:themeColor="text1"/>
          <w:kern w:val="0"/>
        </w:rPr>
      </w:pPr>
      <w:r>
        <w:rPr>
          <w:rFonts w:ascii="方正小标宋简体" w:eastAsia="方正小标宋简体" w:hint="eastAsia"/>
        </w:rPr>
        <w:t>“</w:t>
      </w:r>
      <w:r>
        <w:rPr>
          <w:b/>
          <w:color w:val="000000" w:themeColor="text1"/>
          <w:kern w:val="0"/>
        </w:rPr>
        <w:t>智能管道多参数风险评估与定漏溯源监测系统</w:t>
      </w:r>
      <w:r>
        <w:rPr>
          <w:rFonts w:ascii="方正小标宋简体" w:eastAsia="方正小标宋简体" w:hint="eastAsia"/>
        </w:rPr>
        <w:t>”成果报奖公示</w:t>
      </w:r>
    </w:p>
    <w:p w:rsidR="00236AC7" w:rsidRDefault="00236AC7">
      <w:pPr>
        <w:spacing w:line="360" w:lineRule="auto"/>
        <w:rPr>
          <w:rFonts w:eastAsia="仿宋_GB2312"/>
        </w:rPr>
      </w:pPr>
    </w:p>
    <w:p w:rsidR="00652E02" w:rsidRPr="00236AC7" w:rsidRDefault="00100C0F">
      <w:pPr>
        <w:spacing w:line="360" w:lineRule="auto"/>
        <w:rPr>
          <w:rFonts w:eastAsia="仿宋_GB2312"/>
        </w:rPr>
      </w:pPr>
      <w:r w:rsidRPr="00236AC7">
        <w:rPr>
          <w:rFonts w:eastAsia="仿宋_GB2312"/>
        </w:rPr>
        <w:t>一、项目名称</w:t>
      </w:r>
    </w:p>
    <w:p w:rsidR="00652E02" w:rsidRPr="00236AC7" w:rsidRDefault="00100C0F" w:rsidP="00236AC7">
      <w:pPr>
        <w:spacing w:line="360" w:lineRule="auto"/>
        <w:ind w:firstLineChars="200" w:firstLine="560"/>
        <w:rPr>
          <w:color w:val="000000" w:themeColor="text1"/>
          <w:kern w:val="0"/>
        </w:rPr>
      </w:pPr>
      <w:r w:rsidRPr="00236AC7">
        <w:rPr>
          <w:color w:val="000000" w:themeColor="text1"/>
          <w:kern w:val="0"/>
        </w:rPr>
        <w:t>智能管道多参数风险评估</w:t>
      </w:r>
      <w:proofErr w:type="gramStart"/>
      <w:r w:rsidRPr="00236AC7">
        <w:rPr>
          <w:color w:val="000000" w:themeColor="text1"/>
          <w:kern w:val="0"/>
        </w:rPr>
        <w:t>与定漏溯源</w:t>
      </w:r>
      <w:proofErr w:type="gramEnd"/>
      <w:r w:rsidRPr="00236AC7">
        <w:rPr>
          <w:color w:val="000000" w:themeColor="text1"/>
          <w:kern w:val="0"/>
        </w:rPr>
        <w:t>监测系统</w:t>
      </w:r>
    </w:p>
    <w:p w:rsidR="00652E02" w:rsidRPr="00236AC7" w:rsidRDefault="00100C0F">
      <w:pPr>
        <w:spacing w:line="360" w:lineRule="auto"/>
        <w:rPr>
          <w:rFonts w:eastAsia="仿宋_GB2312"/>
        </w:rPr>
      </w:pPr>
      <w:r w:rsidRPr="00236AC7">
        <w:rPr>
          <w:rFonts w:eastAsia="仿宋_GB2312"/>
        </w:rPr>
        <w:t>二、提名者及提名意见</w:t>
      </w:r>
    </w:p>
    <w:p w:rsidR="00652E02" w:rsidRPr="00236AC7" w:rsidRDefault="00100C0F">
      <w:pPr>
        <w:rPr>
          <w:rFonts w:eastAsia="仿宋_GB2312"/>
        </w:rPr>
      </w:pPr>
      <w:r w:rsidRPr="00236AC7">
        <w:rPr>
          <w:rFonts w:eastAsia="仿宋_GB2312" w:hint="eastAsia"/>
        </w:rPr>
        <w:t>提名者：陕西省教育厅</w:t>
      </w:r>
    </w:p>
    <w:p w:rsidR="00652E02" w:rsidRPr="00236AC7" w:rsidRDefault="00100C0F">
      <w:pPr>
        <w:spacing w:line="360" w:lineRule="auto"/>
        <w:jc w:val="left"/>
        <w:rPr>
          <w:rFonts w:eastAsia="仿宋_GB2312"/>
        </w:rPr>
      </w:pPr>
      <w:r w:rsidRPr="00236AC7">
        <w:rPr>
          <w:rFonts w:eastAsia="仿宋_GB2312" w:hint="eastAsia"/>
        </w:rPr>
        <w:t>提名意见：</w:t>
      </w:r>
    </w:p>
    <w:p w:rsidR="00652E02" w:rsidRPr="00236AC7" w:rsidRDefault="00100C0F" w:rsidP="000C20FA">
      <w:pPr>
        <w:spacing w:line="360" w:lineRule="auto"/>
        <w:ind w:firstLineChars="196" w:firstLine="549"/>
        <w:jc w:val="left"/>
        <w:rPr>
          <w:color w:val="000000" w:themeColor="text1"/>
          <w:kern w:val="0"/>
        </w:rPr>
      </w:pPr>
      <w:r w:rsidRPr="00236AC7">
        <w:rPr>
          <w:rFonts w:hint="eastAsia"/>
          <w:color w:val="000000" w:themeColor="text1"/>
          <w:kern w:val="0"/>
        </w:rPr>
        <w:t>我单位认真审阅了该项目提名书及附件材料，确认全部材料真实有效，相关内容符合陕西省科学技术奖的提名要求。</w:t>
      </w:r>
    </w:p>
    <w:p w:rsidR="00652E02" w:rsidRDefault="00100C0F">
      <w:pPr>
        <w:spacing w:line="360" w:lineRule="auto"/>
        <w:ind w:firstLineChars="200" w:firstLine="560"/>
        <w:rPr>
          <w:color w:val="000000" w:themeColor="text1"/>
          <w:kern w:val="0"/>
        </w:rPr>
      </w:pPr>
      <w:r>
        <w:rPr>
          <w:rFonts w:hint="eastAsia"/>
          <w:color w:val="000000" w:themeColor="text1"/>
          <w:kern w:val="0"/>
        </w:rPr>
        <w:t>本项目利用先进</w:t>
      </w:r>
      <w:bookmarkStart w:id="0" w:name="_GoBack"/>
      <w:bookmarkEnd w:id="0"/>
      <w:r>
        <w:rPr>
          <w:rFonts w:hint="eastAsia"/>
          <w:color w:val="000000" w:themeColor="text1"/>
          <w:kern w:val="0"/>
        </w:rPr>
        <w:t>传感技术通过融合模糊逻辑、模糊综合评判方法及人工智能技术，构建了一种评估能源化工管道系统腐蚀与泄露风险的新方法，用于解决传统管道输运风险评价中数据缺乏与风险等级区分度不足的问题；提出了考虑参数混合不确定性（随机性和模糊性）和缺陷时变特征的腐蚀缺陷安全评定方法，获得了安全评定参数（缺陷尺寸、材料特性、操作条件）的不确定度对设备安全评定结果的影响规律。该项目与中国石化扬子石油化工有限公司就在线泄漏检测预防系统分别签订了</w:t>
      </w:r>
      <w:r>
        <w:rPr>
          <w:rFonts w:hint="eastAsia"/>
          <w:color w:val="000000" w:themeColor="text1"/>
          <w:kern w:val="0"/>
        </w:rPr>
        <w:t>69.98</w:t>
      </w:r>
      <w:r>
        <w:rPr>
          <w:rFonts w:hint="eastAsia"/>
          <w:color w:val="000000" w:themeColor="text1"/>
          <w:kern w:val="0"/>
        </w:rPr>
        <w:t>万和</w:t>
      </w:r>
      <w:r>
        <w:rPr>
          <w:rFonts w:hint="eastAsia"/>
          <w:color w:val="000000" w:themeColor="text1"/>
          <w:kern w:val="0"/>
        </w:rPr>
        <w:t>90.75</w:t>
      </w:r>
      <w:r>
        <w:rPr>
          <w:rFonts w:hint="eastAsia"/>
          <w:color w:val="000000" w:themeColor="text1"/>
          <w:kern w:val="0"/>
        </w:rPr>
        <w:t>万的采购合同，完成经费为</w:t>
      </w:r>
      <w:r>
        <w:rPr>
          <w:rFonts w:hint="eastAsia"/>
          <w:color w:val="000000" w:themeColor="text1"/>
          <w:kern w:val="0"/>
        </w:rPr>
        <w:t xml:space="preserve"> 62.8</w:t>
      </w:r>
      <w:r>
        <w:rPr>
          <w:rFonts w:hint="eastAsia"/>
          <w:color w:val="000000" w:themeColor="text1"/>
          <w:kern w:val="0"/>
        </w:rPr>
        <w:t>万的中国石油化工股份有限公司中原油田普光分公司天气处理厂的高含硫天然气气液固分离效果在线检测装置研发项目；完成了经费为</w:t>
      </w:r>
      <w:r>
        <w:rPr>
          <w:rFonts w:hint="eastAsia"/>
          <w:color w:val="000000" w:themeColor="text1"/>
          <w:kern w:val="0"/>
        </w:rPr>
        <w:t xml:space="preserve"> 91.67</w:t>
      </w:r>
      <w:r>
        <w:rPr>
          <w:rFonts w:hint="eastAsia"/>
          <w:color w:val="000000" w:themeColor="text1"/>
          <w:kern w:val="0"/>
        </w:rPr>
        <w:t>万的中国石油化工股份有限公司中原油田普光分公司的高酸性气田耐高温抗腐蚀纳米涂料开发应用项目，与中国石油化工股份有限公司签订了</w:t>
      </w:r>
      <w:r>
        <w:rPr>
          <w:rFonts w:hint="eastAsia"/>
          <w:color w:val="000000" w:themeColor="text1"/>
          <w:kern w:val="0"/>
        </w:rPr>
        <w:t>470</w:t>
      </w:r>
      <w:r>
        <w:rPr>
          <w:rFonts w:hint="eastAsia"/>
          <w:color w:val="000000" w:themeColor="text1"/>
          <w:kern w:val="0"/>
        </w:rPr>
        <w:t>万的技术服务合同。该项目在中国石油化工股份有限</w:t>
      </w:r>
      <w:r>
        <w:rPr>
          <w:rFonts w:hint="eastAsia"/>
          <w:color w:val="000000" w:themeColor="text1"/>
          <w:kern w:val="0"/>
        </w:rPr>
        <w:lastRenderedPageBreak/>
        <w:t>公司中原油田普光分公司得到应用，近</w:t>
      </w:r>
      <w:r>
        <w:rPr>
          <w:rFonts w:hint="eastAsia"/>
          <w:color w:val="000000" w:themeColor="text1"/>
          <w:kern w:val="0"/>
        </w:rPr>
        <w:t>5</w:t>
      </w:r>
      <w:r>
        <w:rPr>
          <w:rFonts w:hint="eastAsia"/>
          <w:color w:val="000000" w:themeColor="text1"/>
          <w:kern w:val="0"/>
        </w:rPr>
        <w:t>年来从未发生安全生产事故，持续稳产创造利润</w:t>
      </w:r>
      <w:r>
        <w:rPr>
          <w:rFonts w:hint="eastAsia"/>
          <w:color w:val="000000" w:themeColor="text1"/>
          <w:kern w:val="0"/>
        </w:rPr>
        <w:t>5000</w:t>
      </w:r>
      <w:r>
        <w:rPr>
          <w:rFonts w:hint="eastAsia"/>
          <w:color w:val="000000" w:themeColor="text1"/>
          <w:kern w:val="0"/>
        </w:rPr>
        <w:t>万元以上。该项技术与西安鸿钧睿泽新材料科技有限公司的防腐材料技术产品相结合，极大地减少了井场安全事故与非计划停工，节约生产成本，五年来新增销售收入大于</w:t>
      </w:r>
      <w:r>
        <w:rPr>
          <w:rFonts w:hint="eastAsia"/>
          <w:color w:val="000000" w:themeColor="text1"/>
          <w:kern w:val="0"/>
        </w:rPr>
        <w:t>105</w:t>
      </w:r>
      <w:r>
        <w:rPr>
          <w:rFonts w:hint="eastAsia"/>
          <w:color w:val="000000" w:themeColor="text1"/>
          <w:kern w:val="0"/>
        </w:rPr>
        <w:t>万元，新增利润大于</w:t>
      </w:r>
      <w:r>
        <w:rPr>
          <w:rFonts w:hint="eastAsia"/>
          <w:color w:val="000000" w:themeColor="text1"/>
          <w:kern w:val="0"/>
        </w:rPr>
        <w:t>15</w:t>
      </w:r>
      <w:r>
        <w:rPr>
          <w:rFonts w:hint="eastAsia"/>
          <w:color w:val="000000" w:themeColor="text1"/>
          <w:kern w:val="0"/>
        </w:rPr>
        <w:t>万元。</w:t>
      </w:r>
    </w:p>
    <w:p w:rsidR="00652E02" w:rsidRDefault="00100C0F">
      <w:pPr>
        <w:spacing w:line="360" w:lineRule="auto"/>
        <w:ind w:firstLineChars="200" w:firstLine="560"/>
        <w:rPr>
          <w:color w:val="000000" w:themeColor="text1"/>
          <w:kern w:val="0"/>
        </w:rPr>
      </w:pPr>
      <w:r>
        <w:rPr>
          <w:rFonts w:hint="eastAsia"/>
          <w:color w:val="000000" w:themeColor="text1"/>
          <w:kern w:val="0"/>
        </w:rPr>
        <w:t>提名该项目为陕西省科学技术</w:t>
      </w:r>
      <w:proofErr w:type="gramStart"/>
      <w:r>
        <w:rPr>
          <w:rFonts w:hint="eastAsia"/>
          <w:color w:val="000000" w:themeColor="text1"/>
          <w:kern w:val="0"/>
        </w:rPr>
        <w:t>奖科技</w:t>
      </w:r>
      <w:proofErr w:type="gramEnd"/>
      <w:r>
        <w:rPr>
          <w:rFonts w:hint="eastAsia"/>
          <w:color w:val="000000" w:themeColor="text1"/>
          <w:kern w:val="0"/>
        </w:rPr>
        <w:t>进步奖二等奖。</w:t>
      </w:r>
    </w:p>
    <w:p w:rsidR="00652E02" w:rsidRDefault="00100C0F">
      <w:pPr>
        <w:spacing w:line="360" w:lineRule="auto"/>
        <w:rPr>
          <w:rFonts w:eastAsia="仿宋_GB2312"/>
          <w:b/>
        </w:rPr>
      </w:pPr>
      <w:r>
        <w:rPr>
          <w:rFonts w:eastAsia="仿宋_GB2312"/>
          <w:b/>
        </w:rPr>
        <w:t>三、项目简介</w:t>
      </w:r>
    </w:p>
    <w:p w:rsidR="00652E02" w:rsidRDefault="00100C0F" w:rsidP="000C20FA">
      <w:pPr>
        <w:ind w:firstLineChars="200" w:firstLine="560"/>
      </w:pPr>
      <w:r>
        <w:rPr>
          <w:rFonts w:hint="eastAsia"/>
        </w:rPr>
        <w:t>智能管道多参数风险评估</w:t>
      </w:r>
      <w:proofErr w:type="gramStart"/>
      <w:r>
        <w:rPr>
          <w:rFonts w:hint="eastAsia"/>
        </w:rPr>
        <w:t>与定漏溯源</w:t>
      </w:r>
      <w:proofErr w:type="gramEnd"/>
      <w:r>
        <w:rPr>
          <w:rFonts w:hint="eastAsia"/>
        </w:rPr>
        <w:t>检测系统基于工业物联网技术开发，可实时自动化地监测管道形变与介质泄露，并为此问题的解决提供了方案。</w:t>
      </w:r>
    </w:p>
    <w:p w:rsidR="00652E02" w:rsidRDefault="00100C0F" w:rsidP="000C20FA">
      <w:pPr>
        <w:ind w:firstLineChars="200" w:firstLine="560"/>
      </w:pPr>
      <w:r>
        <w:rPr>
          <w:rFonts w:hint="eastAsia"/>
        </w:rPr>
        <w:t>管道多参数风险评估功能包含两部分：一为管路壁厚分析技术；其二为新型风险评价技术。本项目将上述两类技术融合成完整的监测系统，并将管道的危险因素进行分类管理，量化风险控制及实施成效，组织和关联相关数据，实现系统智能化；管道数据自动采集系统可以</w:t>
      </w:r>
      <w:proofErr w:type="gramStart"/>
      <w:r>
        <w:rPr>
          <w:rFonts w:hint="eastAsia"/>
        </w:rPr>
        <w:t>实现长</w:t>
      </w:r>
      <w:proofErr w:type="gramEnd"/>
      <w:r>
        <w:rPr>
          <w:rFonts w:hint="eastAsia"/>
        </w:rPr>
        <w:t>输管道运行期间内壁厚测量分析的工作，精准定位管道可能的失效位置与失效形式；将不同的风险及后果反馈到大数据库，并做出及时预防和处理，实现管道管理与维护的自动化。本技术主要应用于风险评价、管道损伤模式识别。</w:t>
      </w:r>
      <w:r>
        <w:rPr>
          <w:rFonts w:hint="eastAsia"/>
        </w:rPr>
        <w:t xml:space="preserve">    </w:t>
      </w:r>
    </w:p>
    <w:p w:rsidR="00652E02" w:rsidRDefault="00100C0F" w:rsidP="00100C0F">
      <w:pPr>
        <w:ind w:firstLineChars="200" w:firstLine="560"/>
      </w:pPr>
      <w:proofErr w:type="gramStart"/>
      <w:r>
        <w:t>定漏溯源</w:t>
      </w:r>
      <w:proofErr w:type="gramEnd"/>
      <w:r>
        <w:t>系统集成可检漏阀门密封件、微机电传感器（</w:t>
      </w:r>
      <w:r>
        <w:t>MEMS</w:t>
      </w:r>
      <w:r>
        <w:t>）与</w:t>
      </w:r>
      <w:r>
        <w:t>“</w:t>
      </w:r>
      <w:r>
        <w:t>互联网</w:t>
      </w:r>
      <w:r>
        <w:t>+”</w:t>
      </w:r>
      <w:r>
        <w:t>技术，可以用来解决一些危险气体的无组织排放。如降低石化装置</w:t>
      </w:r>
      <w:r>
        <w:t>“</w:t>
      </w:r>
      <w:r>
        <w:t>高危、高低温交变和超高（三高）</w:t>
      </w:r>
      <w:r>
        <w:t>”</w:t>
      </w:r>
      <w:r>
        <w:t>可拆卸联接部位的挥发性有机物（</w:t>
      </w:r>
      <w:r>
        <w:t>VOCs</w:t>
      </w:r>
      <w:r>
        <w:t>）及有毒有害气体污染物（</w:t>
      </w:r>
      <w:r>
        <w:t>HAPs</w:t>
      </w:r>
      <w:r>
        <w:t>）的无组织泄漏。</w:t>
      </w:r>
      <w:r>
        <w:lastRenderedPageBreak/>
        <w:t>本技术适用范围极广，可用于监测及评价常见的任何尺寸和结构的管道；节约人工成本及精准定位，减少人工作业周期，提高经济效益；检测效率非常之高，其中管道检测效率可达</w:t>
      </w:r>
      <w:r>
        <w:t xml:space="preserve"> 90%</w:t>
      </w:r>
      <w:r>
        <w:t>以上；且对于管道管理及风险预测的准确度高于</w:t>
      </w:r>
      <w:r>
        <w:t xml:space="preserve"> 99%</w:t>
      </w:r>
      <w:r>
        <w:t>。此项目运营为</w:t>
      </w:r>
      <w:r>
        <w:t>“</w:t>
      </w:r>
      <w:r>
        <w:t>产品</w:t>
      </w:r>
      <w:r>
        <w:t>+</w:t>
      </w:r>
      <w:r>
        <w:t>服务</w:t>
      </w:r>
      <w:r>
        <w:t>”</w:t>
      </w:r>
      <w:r>
        <w:t>模式，围绕</w:t>
      </w:r>
      <w:r>
        <w:t>“</w:t>
      </w:r>
      <w:r>
        <w:t>端</w:t>
      </w:r>
      <w:r>
        <w:t>-</w:t>
      </w:r>
      <w:r>
        <w:t>管</w:t>
      </w:r>
      <w:r>
        <w:t>-</w:t>
      </w:r>
      <w:r>
        <w:t>在线云</w:t>
      </w:r>
      <w:r>
        <w:t>”</w:t>
      </w:r>
      <w:r>
        <w:t>技术创新，打造行业端到云端的管道腐蚀监测风险管</w:t>
      </w:r>
      <w:proofErr w:type="gramStart"/>
      <w:r>
        <w:t>控解决</w:t>
      </w:r>
      <w:proofErr w:type="gramEnd"/>
      <w:r>
        <w:t>方案与特色平台。</w:t>
      </w:r>
    </w:p>
    <w:p w:rsidR="00652E02" w:rsidRDefault="00100C0F" w:rsidP="00100C0F">
      <w:pPr>
        <w:ind w:firstLineChars="200" w:firstLine="560"/>
      </w:pPr>
      <w:r>
        <w:t>该项目与中国石化扬子石油化工有限公司就在线泄漏检测预防系统分别签订了</w:t>
      </w:r>
      <w:r>
        <w:t>69.98</w:t>
      </w:r>
      <w:r>
        <w:t>万和</w:t>
      </w:r>
      <w:r>
        <w:t>90.75</w:t>
      </w:r>
      <w:r>
        <w:t>万的采购合同，此外，该项目进行中完成了经费为</w:t>
      </w:r>
      <w:r>
        <w:t xml:space="preserve"> 62.8 </w:t>
      </w:r>
      <w:r>
        <w:t>万的中国石油化工股份有限公司中原油田分公司天气处理厂的高含硫天然气气液固分离效果在线检测装置研发项目，完成了经费为</w:t>
      </w:r>
      <w:r>
        <w:t xml:space="preserve"> 91.67 </w:t>
      </w:r>
      <w:r>
        <w:t>万的中国石油化工股份有限公司中原油田普光分公司的高酸性气田耐高温抗腐蚀纳米涂料开发应用项目。与中国石油化工股份有限公司签订了</w:t>
      </w:r>
      <w:r>
        <w:t>470</w:t>
      </w:r>
      <w:r>
        <w:t>万的技术服务合同，完成了陕西省教育厅专项科研计划项目一项，获得中国博士后科学基金资助三项。</w:t>
      </w:r>
      <w:r>
        <w:t xml:space="preserve"> </w:t>
      </w:r>
    </w:p>
    <w:p w:rsidR="00652E02" w:rsidRDefault="00100C0F" w:rsidP="00100C0F">
      <w:pPr>
        <w:ind w:firstLineChars="200" w:firstLine="560"/>
      </w:pPr>
      <w:r>
        <w:t>该项目在中国石油化工股份有限公司中原油田普光分公司的应用，近</w:t>
      </w:r>
      <w:r>
        <w:t xml:space="preserve"> 5</w:t>
      </w:r>
      <w:r>
        <w:t>年来从未发生安全生产事故，持续稳产创造利润</w:t>
      </w:r>
      <w:r>
        <w:t xml:space="preserve"> 5000 </w:t>
      </w:r>
      <w:r>
        <w:t>万元以上。该项目已经在西安鸿钧睿泽新材料科技有限公司得到了成功应用，与该单位防腐材料技术产品相结合，服务于能源化工市场，避免了井场安全事故和非计划停工，节约生产成本，</w:t>
      </w:r>
      <w:r>
        <w:t>5</w:t>
      </w:r>
      <w:r>
        <w:t>年来新增销售收入大于</w:t>
      </w:r>
      <w:r>
        <w:t>105</w:t>
      </w:r>
      <w:r>
        <w:t>万元，新增利润大于</w:t>
      </w:r>
      <w:r>
        <w:t>15</w:t>
      </w:r>
      <w:r>
        <w:t>万元。此外，该项目与陕西天然气志丹站签订长期技术服务合同。</w:t>
      </w:r>
    </w:p>
    <w:p w:rsidR="00652E02" w:rsidRDefault="00100C0F">
      <w:pPr>
        <w:spacing w:line="360" w:lineRule="auto"/>
        <w:ind w:firstLineChars="200" w:firstLine="560"/>
        <w:rPr>
          <w:color w:val="000000" w:themeColor="text1"/>
          <w:kern w:val="0"/>
        </w:rPr>
      </w:pPr>
      <w:r>
        <w:rPr>
          <w:color w:val="000000"/>
        </w:rPr>
        <w:lastRenderedPageBreak/>
        <w:t>本项目在实施过程中，获得中国石油和化学工业联合会的科技进步奖三等奖</w:t>
      </w:r>
      <w:r>
        <w:rPr>
          <w:color w:val="000000"/>
        </w:rPr>
        <w:t xml:space="preserve"> 2</w:t>
      </w:r>
      <w:r>
        <w:rPr>
          <w:color w:val="000000"/>
        </w:rPr>
        <w:t>项，获得授权国家发明专利</w:t>
      </w:r>
      <w:r>
        <w:rPr>
          <w:color w:val="000000"/>
        </w:rPr>
        <w:t>4</w:t>
      </w:r>
      <w:r>
        <w:rPr>
          <w:color w:val="000000"/>
        </w:rPr>
        <w:t>项，获得陕西省高等学校科学技术奖二等奖一项，发表相关科技论文</w:t>
      </w:r>
      <w:r>
        <w:rPr>
          <w:color w:val="000000"/>
        </w:rPr>
        <w:t>20</w:t>
      </w:r>
      <w:r>
        <w:rPr>
          <w:color w:val="000000"/>
        </w:rPr>
        <w:t>余篇，指导了</w:t>
      </w:r>
      <w:r>
        <w:rPr>
          <w:color w:val="000000"/>
        </w:rPr>
        <w:t>10</w:t>
      </w:r>
      <w:r>
        <w:rPr>
          <w:color w:val="000000"/>
        </w:rPr>
        <w:t>余名本科生，</w:t>
      </w:r>
      <w:r>
        <w:rPr>
          <w:color w:val="000000"/>
        </w:rPr>
        <w:t>15</w:t>
      </w:r>
      <w:r>
        <w:rPr>
          <w:color w:val="000000"/>
        </w:rPr>
        <w:t>名硕士研究生。</w:t>
      </w:r>
    </w:p>
    <w:p w:rsidR="00652E02" w:rsidRDefault="00100C0F">
      <w:pPr>
        <w:spacing w:line="360" w:lineRule="auto"/>
        <w:rPr>
          <w:color w:val="000000" w:themeColor="text1"/>
          <w:kern w:val="0"/>
        </w:rPr>
      </w:pPr>
      <w:r>
        <w:rPr>
          <w:rFonts w:eastAsia="仿宋_GB2312"/>
          <w:b/>
        </w:rPr>
        <w:t>四、客观评价</w:t>
      </w:r>
    </w:p>
    <w:p w:rsidR="00652E02" w:rsidRDefault="00100C0F">
      <w:pPr>
        <w:spacing w:line="360" w:lineRule="auto"/>
        <w:ind w:firstLineChars="200" w:firstLine="560"/>
        <w:rPr>
          <w:color w:val="000000" w:themeColor="text1"/>
          <w:kern w:val="0"/>
        </w:rPr>
      </w:pPr>
      <w:r>
        <w:rPr>
          <w:rFonts w:hint="eastAsia"/>
          <w:color w:val="000000" w:themeColor="text1"/>
          <w:kern w:val="0"/>
        </w:rPr>
        <w:t>通过基于管道的风险管理，以管道状况评价为主要手段，综合参考管道适用性分析评价技术的帮助下，项目技术实现了针油田管道高效安全运行的完整性管理。具体到生成各种针对高风险管道维修的切实可行方案与计划，宏观上为地面工程大修计划的制定提供技术支持和决策方案，实现管道的高效智能化管理。同时有利于进一步降低维护成本，使得管道运行的安全性得到极大的保障。</w:t>
      </w:r>
    </w:p>
    <w:p w:rsidR="00652E02" w:rsidRDefault="00100C0F">
      <w:pPr>
        <w:spacing w:line="360" w:lineRule="auto"/>
        <w:ind w:firstLineChars="200" w:firstLine="560"/>
        <w:rPr>
          <w:color w:val="000000" w:themeColor="text1"/>
          <w:kern w:val="0"/>
        </w:rPr>
      </w:pPr>
      <w:r>
        <w:rPr>
          <w:rFonts w:hint="eastAsia"/>
          <w:color w:val="000000" w:themeColor="text1"/>
          <w:kern w:val="0"/>
        </w:rPr>
        <w:t>该技术同时存在一定的局限性，该技术的数据通过模拟计算获得，由于计算模型存在一定的假设前提，与真实数据相比较，存在一定的误差。当这个误差卡在材料的许用应力范围内时，无法准确地判断管道有没有发生形变。此外，数据的采集全部通过实时测量的传感器，传感器由于长时间工作，其数据采集精度的稳定性不能得到保障，偶尔会出现测不准的现象，虚报数值造成经济损失。</w:t>
      </w:r>
    </w:p>
    <w:p w:rsidR="00652E02" w:rsidRDefault="00100C0F">
      <w:pPr>
        <w:spacing w:line="360" w:lineRule="auto"/>
        <w:ind w:firstLineChars="200" w:firstLine="560"/>
        <w:rPr>
          <w:color w:val="000000" w:themeColor="text1"/>
          <w:kern w:val="0"/>
        </w:rPr>
      </w:pPr>
      <w:r>
        <w:rPr>
          <w:rFonts w:hint="eastAsia"/>
          <w:color w:val="000000" w:themeColor="text1"/>
          <w:kern w:val="0"/>
        </w:rPr>
        <w:t>管道运行安全检测一般为一年一次，或是在非常作业情况之下，比如经过重大改造之后的压力管道会进行一次检测。而当下的检测方式存在一定的滞后性，如某处发生了泄露，但只有当足够明显或者在年检的时候才能发现，而管道风险评估</w:t>
      </w:r>
      <w:proofErr w:type="gramStart"/>
      <w:r>
        <w:rPr>
          <w:rFonts w:hint="eastAsia"/>
          <w:color w:val="000000" w:themeColor="text1"/>
          <w:kern w:val="0"/>
        </w:rPr>
        <w:t>与定漏溯源</w:t>
      </w:r>
      <w:proofErr w:type="gramEnd"/>
      <w:r>
        <w:rPr>
          <w:rFonts w:hint="eastAsia"/>
          <w:color w:val="000000" w:themeColor="text1"/>
          <w:kern w:val="0"/>
        </w:rPr>
        <w:t>监测系统可以做到实时监测，在最短的时间内对应力的变化做出应答并确定其泄漏位置，</w:t>
      </w:r>
      <w:r>
        <w:rPr>
          <w:rFonts w:hint="eastAsia"/>
          <w:color w:val="000000" w:themeColor="text1"/>
          <w:kern w:val="0"/>
        </w:rPr>
        <w:lastRenderedPageBreak/>
        <w:t>实现提前预警，与传统方式相比具有巨大优势。</w:t>
      </w:r>
    </w:p>
    <w:p w:rsidR="00652E02" w:rsidRDefault="00100C0F">
      <w:pPr>
        <w:spacing w:line="360" w:lineRule="auto"/>
        <w:ind w:firstLineChars="200" w:firstLine="560"/>
        <w:rPr>
          <w:color w:val="000000" w:themeColor="text1"/>
          <w:kern w:val="0"/>
        </w:rPr>
      </w:pPr>
      <w:r>
        <w:rPr>
          <w:rFonts w:hint="eastAsia"/>
          <w:color w:val="000000" w:themeColor="text1"/>
          <w:kern w:val="0"/>
        </w:rPr>
        <w:t>该项目在进行过程中，获得陕西省高等学校科学技术奖二等奖</w:t>
      </w:r>
      <w:r>
        <w:rPr>
          <w:rFonts w:hint="eastAsia"/>
          <w:color w:val="000000" w:themeColor="text1"/>
          <w:kern w:val="0"/>
        </w:rPr>
        <w:t>1</w:t>
      </w:r>
      <w:r>
        <w:rPr>
          <w:rFonts w:hint="eastAsia"/>
          <w:color w:val="000000" w:themeColor="text1"/>
          <w:kern w:val="0"/>
        </w:rPr>
        <w:t>项。</w:t>
      </w:r>
    </w:p>
    <w:p w:rsidR="00652E02" w:rsidRDefault="00100C0F">
      <w:pPr>
        <w:spacing w:line="360" w:lineRule="auto"/>
        <w:rPr>
          <w:rFonts w:eastAsia="仿宋_GB2312"/>
          <w:b/>
        </w:rPr>
      </w:pPr>
      <w:r>
        <w:rPr>
          <w:rFonts w:eastAsia="仿宋_GB2312"/>
          <w:b/>
        </w:rPr>
        <w:t>五、应用情况</w:t>
      </w:r>
    </w:p>
    <w:p w:rsidR="00652E02" w:rsidRDefault="00100C0F">
      <w:pPr>
        <w:spacing w:line="360" w:lineRule="auto"/>
        <w:ind w:firstLineChars="200" w:firstLine="560"/>
        <w:rPr>
          <w:color w:val="000000" w:themeColor="text1"/>
          <w:kern w:val="0"/>
        </w:rPr>
      </w:pPr>
      <w:r>
        <w:rPr>
          <w:rFonts w:hint="eastAsia"/>
          <w:color w:val="000000" w:themeColor="text1"/>
          <w:kern w:val="0"/>
        </w:rPr>
        <w:t>该项目与中国石化扬子石油化工有限公司就在线泄漏检测预防系统分别签订了</w:t>
      </w:r>
      <w:r>
        <w:rPr>
          <w:rFonts w:hint="eastAsia"/>
          <w:color w:val="000000" w:themeColor="text1"/>
          <w:kern w:val="0"/>
        </w:rPr>
        <w:t>69.98</w:t>
      </w:r>
      <w:r>
        <w:rPr>
          <w:rFonts w:hint="eastAsia"/>
          <w:color w:val="000000" w:themeColor="text1"/>
          <w:kern w:val="0"/>
        </w:rPr>
        <w:t>万和</w:t>
      </w:r>
      <w:r>
        <w:rPr>
          <w:rFonts w:hint="eastAsia"/>
          <w:color w:val="000000" w:themeColor="text1"/>
          <w:kern w:val="0"/>
        </w:rPr>
        <w:t>90.75</w:t>
      </w:r>
      <w:r>
        <w:rPr>
          <w:rFonts w:hint="eastAsia"/>
          <w:color w:val="000000" w:themeColor="text1"/>
          <w:kern w:val="0"/>
        </w:rPr>
        <w:t>万的采购合同，已完成经费为</w:t>
      </w:r>
      <w:r>
        <w:rPr>
          <w:rFonts w:hint="eastAsia"/>
          <w:color w:val="000000" w:themeColor="text1"/>
          <w:kern w:val="0"/>
        </w:rPr>
        <w:t xml:space="preserve"> 62.8</w:t>
      </w:r>
      <w:r>
        <w:rPr>
          <w:rFonts w:hint="eastAsia"/>
          <w:color w:val="000000" w:themeColor="text1"/>
          <w:kern w:val="0"/>
        </w:rPr>
        <w:t>万的中国石油化工股份有限公司中原油田普光分公司天气处理厂的高含硫天然气气液固分离效果在线检测装置研发项目；完成了经费为</w:t>
      </w:r>
      <w:r>
        <w:rPr>
          <w:rFonts w:hint="eastAsia"/>
          <w:color w:val="000000" w:themeColor="text1"/>
          <w:kern w:val="0"/>
        </w:rPr>
        <w:t xml:space="preserve"> 91.67</w:t>
      </w:r>
      <w:r>
        <w:rPr>
          <w:rFonts w:hint="eastAsia"/>
          <w:color w:val="000000" w:themeColor="text1"/>
          <w:kern w:val="0"/>
        </w:rPr>
        <w:t>万的中国石油化工股份有限公司中原油田普光分公司的高酸性气田耐高温抗腐蚀纳米涂料开发应用项目，与中国石油化工股份有限公司签订了</w:t>
      </w:r>
      <w:r>
        <w:rPr>
          <w:rFonts w:hint="eastAsia"/>
          <w:color w:val="000000" w:themeColor="text1"/>
          <w:kern w:val="0"/>
        </w:rPr>
        <w:t>470</w:t>
      </w:r>
      <w:r>
        <w:rPr>
          <w:rFonts w:hint="eastAsia"/>
          <w:color w:val="000000" w:themeColor="text1"/>
          <w:kern w:val="0"/>
        </w:rPr>
        <w:t>万的技术服务合同。在纵向课题研究方面，完成了陕西省教育厅专项科研计划项目一项，获得了中国博士后科学基金项目资助</w:t>
      </w:r>
      <w:r>
        <w:rPr>
          <w:rFonts w:hint="eastAsia"/>
          <w:color w:val="000000" w:themeColor="text1"/>
          <w:kern w:val="0"/>
        </w:rPr>
        <w:t>2</w:t>
      </w:r>
      <w:r>
        <w:rPr>
          <w:rFonts w:hint="eastAsia"/>
          <w:color w:val="000000" w:themeColor="text1"/>
          <w:kern w:val="0"/>
        </w:rPr>
        <w:t>项。该项目在中国石油化工股份有限公司中原油田普光分公司得到应用，近</w:t>
      </w:r>
      <w:r>
        <w:rPr>
          <w:rFonts w:hint="eastAsia"/>
          <w:color w:val="000000" w:themeColor="text1"/>
          <w:kern w:val="0"/>
        </w:rPr>
        <w:t>5</w:t>
      </w:r>
      <w:r>
        <w:rPr>
          <w:rFonts w:hint="eastAsia"/>
          <w:color w:val="000000" w:themeColor="text1"/>
          <w:kern w:val="0"/>
        </w:rPr>
        <w:t>年来从未发生安全生产事故，持续稳产创造利润</w:t>
      </w:r>
      <w:r>
        <w:rPr>
          <w:rFonts w:hint="eastAsia"/>
          <w:color w:val="000000" w:themeColor="text1"/>
          <w:kern w:val="0"/>
        </w:rPr>
        <w:t>5000</w:t>
      </w:r>
      <w:r>
        <w:rPr>
          <w:rFonts w:hint="eastAsia"/>
          <w:color w:val="000000" w:themeColor="text1"/>
          <w:kern w:val="0"/>
        </w:rPr>
        <w:t>万元以上。</w:t>
      </w:r>
      <w:r>
        <w:rPr>
          <w:rFonts w:hint="eastAsia"/>
          <w:color w:val="000000" w:themeColor="text1"/>
          <w:kern w:val="0"/>
        </w:rPr>
        <w:t xml:space="preserve"> </w:t>
      </w:r>
    </w:p>
    <w:p w:rsidR="00652E02" w:rsidRDefault="00100C0F">
      <w:pPr>
        <w:spacing w:line="360" w:lineRule="auto"/>
        <w:ind w:firstLineChars="200" w:firstLine="560"/>
        <w:rPr>
          <w:color w:val="000000" w:themeColor="text1"/>
          <w:kern w:val="0"/>
        </w:rPr>
      </w:pPr>
      <w:r>
        <w:rPr>
          <w:rFonts w:hint="eastAsia"/>
          <w:color w:val="000000" w:themeColor="text1"/>
          <w:kern w:val="0"/>
        </w:rPr>
        <w:t>该项目已经在西安鸿钧睿泽新材料科技有限公司得到了成功应用，与该单位防腐材料技术产品相结合，服务于能源化工市场，避免了井场安全事故和非计划停工，节约生产成本。</w:t>
      </w:r>
      <w:r>
        <w:rPr>
          <w:rFonts w:hint="eastAsia"/>
          <w:color w:val="000000" w:themeColor="text1"/>
          <w:kern w:val="0"/>
        </w:rPr>
        <w:t>5</w:t>
      </w:r>
      <w:r>
        <w:rPr>
          <w:rFonts w:hint="eastAsia"/>
          <w:color w:val="000000" w:themeColor="text1"/>
          <w:kern w:val="0"/>
        </w:rPr>
        <w:t>年来新增销售收入大于</w:t>
      </w:r>
      <w:r>
        <w:rPr>
          <w:rFonts w:hint="eastAsia"/>
          <w:color w:val="000000" w:themeColor="text1"/>
          <w:kern w:val="0"/>
        </w:rPr>
        <w:t>105</w:t>
      </w:r>
      <w:r>
        <w:rPr>
          <w:rFonts w:hint="eastAsia"/>
          <w:color w:val="000000" w:themeColor="text1"/>
          <w:kern w:val="0"/>
        </w:rPr>
        <w:t>万元，新增利润大于</w:t>
      </w:r>
      <w:r>
        <w:rPr>
          <w:rFonts w:hint="eastAsia"/>
          <w:color w:val="000000" w:themeColor="text1"/>
          <w:kern w:val="0"/>
        </w:rPr>
        <w:t>15</w:t>
      </w:r>
      <w:r>
        <w:rPr>
          <w:rFonts w:hint="eastAsia"/>
          <w:color w:val="000000" w:themeColor="text1"/>
          <w:kern w:val="0"/>
        </w:rPr>
        <w:t>万元。</w:t>
      </w:r>
    </w:p>
    <w:p w:rsidR="00652E02" w:rsidRDefault="00100C0F">
      <w:pPr>
        <w:spacing w:line="360" w:lineRule="auto"/>
        <w:ind w:firstLineChars="200" w:firstLine="560"/>
        <w:rPr>
          <w:color w:val="000000" w:themeColor="text1"/>
          <w:kern w:val="0"/>
        </w:rPr>
      </w:pPr>
      <w:r>
        <w:rPr>
          <w:rFonts w:hint="eastAsia"/>
          <w:color w:val="000000" w:themeColor="text1"/>
          <w:kern w:val="0"/>
        </w:rPr>
        <w:t>此外，该项目与陕西天然气志丹站签订长期技术服务合同。</w:t>
      </w:r>
    </w:p>
    <w:p w:rsidR="00652E02" w:rsidRDefault="00100C0F">
      <w:pPr>
        <w:spacing w:line="360" w:lineRule="auto"/>
        <w:rPr>
          <w:rFonts w:eastAsia="仿宋_GB2312"/>
          <w:b/>
        </w:rPr>
      </w:pPr>
      <w:r>
        <w:rPr>
          <w:rFonts w:eastAsia="仿宋_GB2312"/>
          <w:b/>
        </w:rPr>
        <w:t>六、主要知识产权和标准规范等目录</w:t>
      </w:r>
    </w:p>
    <w:tbl>
      <w:tblPr>
        <w:tblStyle w:val="a6"/>
        <w:tblW w:w="0" w:type="auto"/>
        <w:tblLook w:val="04A0" w:firstRow="1" w:lastRow="0" w:firstColumn="1" w:lastColumn="0" w:noHBand="0" w:noVBand="1"/>
      </w:tblPr>
      <w:tblGrid>
        <w:gridCol w:w="1500"/>
        <w:gridCol w:w="1533"/>
        <w:gridCol w:w="2136"/>
        <w:gridCol w:w="3353"/>
      </w:tblGrid>
      <w:tr w:rsidR="00652E02">
        <w:tc>
          <w:tcPr>
            <w:tcW w:w="1526" w:type="dxa"/>
            <w:vAlign w:val="center"/>
          </w:tcPr>
          <w:p w:rsidR="00652E02" w:rsidRDefault="00100C0F">
            <w:pPr>
              <w:spacing w:line="360" w:lineRule="auto"/>
              <w:jc w:val="center"/>
              <w:rPr>
                <w:rFonts w:eastAsia="仿宋_GB2312"/>
                <w:b/>
              </w:rPr>
            </w:pPr>
            <w:r>
              <w:rPr>
                <w:rFonts w:eastAsia="仿宋_GB2312"/>
                <w:b/>
              </w:rPr>
              <w:t>专利状况</w:t>
            </w:r>
          </w:p>
        </w:tc>
        <w:tc>
          <w:tcPr>
            <w:tcW w:w="1559" w:type="dxa"/>
            <w:vAlign w:val="center"/>
          </w:tcPr>
          <w:p w:rsidR="00652E02" w:rsidRDefault="00100C0F">
            <w:pPr>
              <w:spacing w:line="360" w:lineRule="auto"/>
              <w:jc w:val="center"/>
              <w:rPr>
                <w:rFonts w:eastAsia="仿宋_GB2312"/>
                <w:b/>
              </w:rPr>
            </w:pPr>
            <w:r>
              <w:rPr>
                <w:rFonts w:eastAsia="仿宋_GB2312"/>
                <w:b/>
              </w:rPr>
              <w:t>专利类型</w:t>
            </w:r>
          </w:p>
        </w:tc>
        <w:tc>
          <w:tcPr>
            <w:tcW w:w="2016" w:type="dxa"/>
            <w:vAlign w:val="center"/>
          </w:tcPr>
          <w:p w:rsidR="00652E02" w:rsidRDefault="00100C0F">
            <w:pPr>
              <w:spacing w:line="360" w:lineRule="auto"/>
              <w:jc w:val="center"/>
              <w:rPr>
                <w:rFonts w:eastAsia="仿宋_GB2312"/>
                <w:b/>
              </w:rPr>
            </w:pPr>
            <w:r>
              <w:rPr>
                <w:rFonts w:eastAsia="仿宋_GB2312"/>
                <w:b/>
              </w:rPr>
              <w:t>专利号</w:t>
            </w:r>
          </w:p>
        </w:tc>
        <w:tc>
          <w:tcPr>
            <w:tcW w:w="3421" w:type="dxa"/>
            <w:vAlign w:val="center"/>
          </w:tcPr>
          <w:p w:rsidR="00652E02" w:rsidRDefault="00100C0F">
            <w:pPr>
              <w:spacing w:line="360" w:lineRule="auto"/>
              <w:jc w:val="center"/>
              <w:rPr>
                <w:rFonts w:eastAsia="仿宋_GB2312"/>
                <w:b/>
              </w:rPr>
            </w:pPr>
            <w:r>
              <w:rPr>
                <w:rFonts w:eastAsia="仿宋_GB2312"/>
                <w:b/>
              </w:rPr>
              <w:t>专利名称</w:t>
            </w:r>
          </w:p>
        </w:tc>
      </w:tr>
      <w:tr w:rsidR="00652E02">
        <w:tc>
          <w:tcPr>
            <w:tcW w:w="152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已</w:t>
            </w:r>
            <w:r>
              <w:rPr>
                <w:rFonts w:asciiTheme="minorEastAsia" w:eastAsiaTheme="minorEastAsia" w:hAnsiTheme="minorEastAsia" w:hint="eastAsia"/>
                <w:sz w:val="24"/>
                <w:szCs w:val="24"/>
              </w:rPr>
              <w:t>授权</w:t>
            </w:r>
            <w:r>
              <w:rPr>
                <w:rFonts w:asciiTheme="minorEastAsia" w:eastAsiaTheme="minorEastAsia" w:hAnsiTheme="minorEastAsia"/>
                <w:sz w:val="24"/>
                <w:szCs w:val="24"/>
              </w:rPr>
              <w:t>专利</w:t>
            </w:r>
          </w:p>
        </w:tc>
        <w:tc>
          <w:tcPr>
            <w:tcW w:w="1559"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发明专利</w:t>
            </w:r>
          </w:p>
        </w:tc>
        <w:tc>
          <w:tcPr>
            <w:tcW w:w="201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ZL201510518933.4</w:t>
            </w:r>
          </w:p>
        </w:tc>
        <w:tc>
          <w:tcPr>
            <w:tcW w:w="3421"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一种轻量级无线传感网络的传感节点运行模式切换方法</w:t>
            </w:r>
          </w:p>
        </w:tc>
      </w:tr>
      <w:tr w:rsidR="00652E02">
        <w:tc>
          <w:tcPr>
            <w:tcW w:w="152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已</w:t>
            </w:r>
            <w:r>
              <w:rPr>
                <w:rFonts w:asciiTheme="minorEastAsia" w:eastAsiaTheme="minorEastAsia" w:hAnsiTheme="minorEastAsia" w:hint="eastAsia"/>
                <w:sz w:val="24"/>
                <w:szCs w:val="24"/>
              </w:rPr>
              <w:t>授权</w:t>
            </w:r>
            <w:r>
              <w:rPr>
                <w:rFonts w:asciiTheme="minorEastAsia" w:eastAsiaTheme="minorEastAsia" w:hAnsiTheme="minorEastAsia"/>
                <w:sz w:val="24"/>
                <w:szCs w:val="24"/>
              </w:rPr>
              <w:t>专利</w:t>
            </w:r>
          </w:p>
        </w:tc>
        <w:tc>
          <w:tcPr>
            <w:tcW w:w="1559"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实用新型</w:t>
            </w:r>
          </w:p>
        </w:tc>
        <w:tc>
          <w:tcPr>
            <w:tcW w:w="201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ZL201720932034.3</w:t>
            </w:r>
          </w:p>
        </w:tc>
        <w:tc>
          <w:tcPr>
            <w:tcW w:w="3421"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一种防爆TVOC气体泄漏区域监测装置</w:t>
            </w:r>
          </w:p>
        </w:tc>
      </w:tr>
      <w:tr w:rsidR="00652E02">
        <w:tc>
          <w:tcPr>
            <w:tcW w:w="152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已授权专利</w:t>
            </w:r>
          </w:p>
        </w:tc>
        <w:tc>
          <w:tcPr>
            <w:tcW w:w="1559"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发明专利</w:t>
            </w:r>
          </w:p>
        </w:tc>
        <w:tc>
          <w:tcPr>
            <w:tcW w:w="201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ZL201611030755.1</w:t>
            </w:r>
          </w:p>
        </w:tc>
        <w:tc>
          <w:tcPr>
            <w:tcW w:w="3421"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一种基于光脉动的颗粒粒径检测装置</w:t>
            </w:r>
          </w:p>
        </w:tc>
      </w:tr>
      <w:tr w:rsidR="00652E02">
        <w:tc>
          <w:tcPr>
            <w:tcW w:w="152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已授权专利</w:t>
            </w:r>
          </w:p>
        </w:tc>
        <w:tc>
          <w:tcPr>
            <w:tcW w:w="1559"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发明专利</w:t>
            </w:r>
          </w:p>
        </w:tc>
        <w:tc>
          <w:tcPr>
            <w:tcW w:w="201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ZL201610669287.9</w:t>
            </w:r>
          </w:p>
        </w:tc>
        <w:tc>
          <w:tcPr>
            <w:tcW w:w="3421"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一种耐酸纳米防腐涂料及其制备方法</w:t>
            </w:r>
          </w:p>
        </w:tc>
      </w:tr>
      <w:tr w:rsidR="00652E02">
        <w:tc>
          <w:tcPr>
            <w:tcW w:w="152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已授权专利</w:t>
            </w:r>
          </w:p>
        </w:tc>
        <w:tc>
          <w:tcPr>
            <w:tcW w:w="1559"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发明专利</w:t>
            </w:r>
          </w:p>
        </w:tc>
        <w:tc>
          <w:tcPr>
            <w:tcW w:w="201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ZL201010266658.9</w:t>
            </w:r>
          </w:p>
        </w:tc>
        <w:tc>
          <w:tcPr>
            <w:tcW w:w="3421"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液硫中硫化氢浓度测定法</w:t>
            </w:r>
          </w:p>
        </w:tc>
      </w:tr>
      <w:tr w:rsidR="00652E02">
        <w:tc>
          <w:tcPr>
            <w:tcW w:w="152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已授权专利</w:t>
            </w:r>
          </w:p>
        </w:tc>
        <w:tc>
          <w:tcPr>
            <w:tcW w:w="1559"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实用新型</w:t>
            </w:r>
          </w:p>
        </w:tc>
        <w:tc>
          <w:tcPr>
            <w:tcW w:w="2016"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ZL201420479601.0</w:t>
            </w:r>
          </w:p>
        </w:tc>
        <w:tc>
          <w:tcPr>
            <w:tcW w:w="3421"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一种用于硫磺回收装置的气体采样器</w:t>
            </w:r>
          </w:p>
        </w:tc>
      </w:tr>
    </w:tbl>
    <w:p w:rsidR="00652E02" w:rsidRDefault="00652E02">
      <w:pPr>
        <w:spacing w:line="360" w:lineRule="auto"/>
        <w:rPr>
          <w:rFonts w:eastAsia="仿宋_GB2312"/>
          <w:b/>
        </w:rPr>
      </w:pPr>
    </w:p>
    <w:tbl>
      <w:tblPr>
        <w:tblStyle w:val="a6"/>
        <w:tblW w:w="0" w:type="auto"/>
        <w:tblLayout w:type="fixed"/>
        <w:tblLook w:val="04A0" w:firstRow="1" w:lastRow="0" w:firstColumn="1" w:lastColumn="0" w:noHBand="0" w:noVBand="1"/>
      </w:tblPr>
      <w:tblGrid>
        <w:gridCol w:w="395"/>
        <w:gridCol w:w="1556"/>
        <w:gridCol w:w="1559"/>
        <w:gridCol w:w="1418"/>
        <w:gridCol w:w="1134"/>
        <w:gridCol w:w="686"/>
        <w:gridCol w:w="690"/>
        <w:gridCol w:w="690"/>
        <w:gridCol w:w="394"/>
      </w:tblGrid>
      <w:tr w:rsidR="00652E02">
        <w:tc>
          <w:tcPr>
            <w:tcW w:w="395" w:type="dxa"/>
            <w:vAlign w:val="center"/>
          </w:tcPr>
          <w:p w:rsidR="00652E02" w:rsidRDefault="00100C0F">
            <w:pPr>
              <w:jc w:val="center"/>
              <w:rPr>
                <w:szCs w:val="21"/>
              </w:rPr>
            </w:pPr>
            <w:r>
              <w:rPr>
                <w:szCs w:val="21"/>
              </w:rPr>
              <w:t>序号</w:t>
            </w:r>
          </w:p>
        </w:tc>
        <w:tc>
          <w:tcPr>
            <w:tcW w:w="1556" w:type="dxa"/>
            <w:vAlign w:val="center"/>
          </w:tcPr>
          <w:p w:rsidR="00652E02" w:rsidRDefault="00100C0F">
            <w:pPr>
              <w:jc w:val="center"/>
              <w:rPr>
                <w:szCs w:val="21"/>
              </w:rPr>
            </w:pPr>
            <w:r>
              <w:rPr>
                <w:szCs w:val="21"/>
              </w:rPr>
              <w:t>论文专著名称</w:t>
            </w:r>
          </w:p>
        </w:tc>
        <w:tc>
          <w:tcPr>
            <w:tcW w:w="1559" w:type="dxa"/>
            <w:vAlign w:val="center"/>
          </w:tcPr>
          <w:p w:rsidR="00652E02" w:rsidRDefault="00100C0F">
            <w:pPr>
              <w:jc w:val="center"/>
              <w:rPr>
                <w:szCs w:val="21"/>
              </w:rPr>
            </w:pPr>
            <w:r>
              <w:rPr>
                <w:szCs w:val="21"/>
              </w:rPr>
              <w:t>刊名</w:t>
            </w:r>
          </w:p>
        </w:tc>
        <w:tc>
          <w:tcPr>
            <w:tcW w:w="1418" w:type="dxa"/>
            <w:vAlign w:val="center"/>
          </w:tcPr>
          <w:p w:rsidR="00652E02" w:rsidRDefault="00100C0F">
            <w:pPr>
              <w:jc w:val="center"/>
              <w:rPr>
                <w:szCs w:val="21"/>
              </w:rPr>
            </w:pPr>
            <w:r>
              <w:rPr>
                <w:szCs w:val="21"/>
              </w:rPr>
              <w:t>作者</w:t>
            </w:r>
          </w:p>
        </w:tc>
        <w:tc>
          <w:tcPr>
            <w:tcW w:w="1134" w:type="dxa"/>
            <w:vAlign w:val="center"/>
          </w:tcPr>
          <w:p w:rsidR="00652E02" w:rsidRDefault="00100C0F">
            <w:pPr>
              <w:jc w:val="center"/>
              <w:rPr>
                <w:szCs w:val="21"/>
              </w:rPr>
            </w:pPr>
            <w:r>
              <w:rPr>
                <w:szCs w:val="21"/>
              </w:rPr>
              <w:t>年卷页码（</w:t>
            </w:r>
            <w:r>
              <w:rPr>
                <w:szCs w:val="21"/>
              </w:rPr>
              <w:t>xx</w:t>
            </w:r>
            <w:r>
              <w:rPr>
                <w:szCs w:val="21"/>
              </w:rPr>
              <w:t>年</w:t>
            </w:r>
            <w:r>
              <w:rPr>
                <w:szCs w:val="21"/>
              </w:rPr>
              <w:t>xx</w:t>
            </w:r>
            <w:r>
              <w:rPr>
                <w:szCs w:val="21"/>
              </w:rPr>
              <w:t>卷</w:t>
            </w:r>
            <w:r>
              <w:rPr>
                <w:szCs w:val="21"/>
              </w:rPr>
              <w:t>xx</w:t>
            </w:r>
            <w:r>
              <w:rPr>
                <w:szCs w:val="21"/>
              </w:rPr>
              <w:t>页）</w:t>
            </w:r>
          </w:p>
        </w:tc>
        <w:tc>
          <w:tcPr>
            <w:tcW w:w="686" w:type="dxa"/>
            <w:vAlign w:val="center"/>
          </w:tcPr>
          <w:p w:rsidR="00652E02" w:rsidRDefault="00100C0F">
            <w:pPr>
              <w:jc w:val="center"/>
              <w:rPr>
                <w:szCs w:val="21"/>
              </w:rPr>
            </w:pPr>
            <w:r>
              <w:rPr>
                <w:szCs w:val="21"/>
              </w:rPr>
              <w:t>发表时间</w:t>
            </w:r>
          </w:p>
        </w:tc>
        <w:tc>
          <w:tcPr>
            <w:tcW w:w="690" w:type="dxa"/>
            <w:vAlign w:val="center"/>
          </w:tcPr>
          <w:p w:rsidR="00652E02" w:rsidRDefault="00100C0F">
            <w:pPr>
              <w:jc w:val="center"/>
              <w:rPr>
                <w:szCs w:val="21"/>
              </w:rPr>
            </w:pPr>
            <w:r>
              <w:rPr>
                <w:szCs w:val="21"/>
              </w:rPr>
              <w:t>通讯作者</w:t>
            </w:r>
          </w:p>
        </w:tc>
        <w:tc>
          <w:tcPr>
            <w:tcW w:w="690" w:type="dxa"/>
            <w:vAlign w:val="center"/>
          </w:tcPr>
          <w:p w:rsidR="00652E02" w:rsidRDefault="00100C0F">
            <w:pPr>
              <w:jc w:val="center"/>
              <w:rPr>
                <w:szCs w:val="21"/>
              </w:rPr>
            </w:pPr>
            <w:r>
              <w:rPr>
                <w:szCs w:val="21"/>
              </w:rPr>
              <w:t>第一作者</w:t>
            </w:r>
          </w:p>
        </w:tc>
        <w:tc>
          <w:tcPr>
            <w:tcW w:w="394" w:type="dxa"/>
            <w:vAlign w:val="center"/>
          </w:tcPr>
          <w:p w:rsidR="00652E02" w:rsidRDefault="00100C0F">
            <w:pPr>
              <w:jc w:val="center"/>
              <w:rPr>
                <w:szCs w:val="21"/>
              </w:rPr>
            </w:pPr>
            <w:r>
              <w:rPr>
                <w:szCs w:val="21"/>
              </w:rPr>
              <w:t>知识产权是否归国内所有</w:t>
            </w:r>
          </w:p>
        </w:tc>
      </w:tr>
      <w:tr w:rsidR="00652E02">
        <w:tc>
          <w:tcPr>
            <w:tcW w:w="395" w:type="dxa"/>
            <w:vAlign w:val="center"/>
          </w:tcPr>
          <w:p w:rsidR="00652E02" w:rsidRDefault="00100C0F">
            <w:pPr>
              <w:jc w:val="center"/>
              <w:rPr>
                <w:szCs w:val="21"/>
              </w:rPr>
            </w:pPr>
            <w:r>
              <w:rPr>
                <w:szCs w:val="21"/>
              </w:rPr>
              <w:t>1</w:t>
            </w:r>
          </w:p>
        </w:tc>
        <w:tc>
          <w:tcPr>
            <w:tcW w:w="1556" w:type="dxa"/>
            <w:vAlign w:val="center"/>
          </w:tcPr>
          <w:p w:rsidR="00652E02" w:rsidRDefault="00100C0F">
            <w:pPr>
              <w:jc w:val="left"/>
              <w:rPr>
                <w:szCs w:val="21"/>
              </w:rPr>
            </w:pPr>
            <w:r>
              <w:rPr>
                <w:szCs w:val="21"/>
              </w:rPr>
              <w:t xml:space="preserve">Natural </w:t>
            </w:r>
            <w:r>
              <w:rPr>
                <w:szCs w:val="21"/>
              </w:rPr>
              <w:lastRenderedPageBreak/>
              <w:t>convection in a porous rectangular enclosure with sinusoidal temperature distributions on both side walls using a thermal non-equilibrium model</w:t>
            </w:r>
          </w:p>
        </w:tc>
        <w:tc>
          <w:tcPr>
            <w:tcW w:w="1559" w:type="dxa"/>
            <w:vAlign w:val="center"/>
          </w:tcPr>
          <w:p w:rsidR="00652E02" w:rsidRDefault="00100C0F">
            <w:pPr>
              <w:jc w:val="center"/>
              <w:rPr>
                <w:szCs w:val="21"/>
              </w:rPr>
            </w:pPr>
            <w:r>
              <w:rPr>
                <w:szCs w:val="21"/>
              </w:rPr>
              <w:lastRenderedPageBreak/>
              <w:t>Internation</w:t>
            </w:r>
            <w:r>
              <w:rPr>
                <w:szCs w:val="21"/>
              </w:rPr>
              <w:lastRenderedPageBreak/>
              <w:t>al Journal of Heat and Mass Transfer</w:t>
            </w:r>
          </w:p>
        </w:tc>
        <w:tc>
          <w:tcPr>
            <w:tcW w:w="1418" w:type="dxa"/>
            <w:vAlign w:val="center"/>
          </w:tcPr>
          <w:p w:rsidR="00652E02" w:rsidRDefault="00100C0F">
            <w:pPr>
              <w:jc w:val="center"/>
              <w:rPr>
                <w:szCs w:val="21"/>
              </w:rPr>
            </w:pPr>
            <w:proofErr w:type="spellStart"/>
            <w:r>
              <w:rPr>
                <w:szCs w:val="21"/>
              </w:rPr>
              <w:lastRenderedPageBreak/>
              <w:t>Feng</w:t>
            </w:r>
            <w:proofErr w:type="spellEnd"/>
            <w:r>
              <w:rPr>
                <w:szCs w:val="21"/>
              </w:rPr>
              <w:t xml:space="preserve"> Wu, </w:t>
            </w:r>
            <w:proofErr w:type="spellStart"/>
            <w:r>
              <w:rPr>
                <w:szCs w:val="21"/>
              </w:rPr>
              <w:lastRenderedPageBreak/>
              <w:t>Wenjin</w:t>
            </w:r>
            <w:proofErr w:type="spellEnd"/>
            <w:r>
              <w:rPr>
                <w:szCs w:val="21"/>
              </w:rPr>
              <w:t xml:space="preserve"> Zhou, </w:t>
            </w:r>
            <w:proofErr w:type="spellStart"/>
            <w:r>
              <w:rPr>
                <w:szCs w:val="21"/>
              </w:rPr>
              <w:t>Xiaoxun</w:t>
            </w:r>
            <w:proofErr w:type="spellEnd"/>
            <w:r>
              <w:rPr>
                <w:szCs w:val="21"/>
              </w:rPr>
              <w:t xml:space="preserve"> Ma</w:t>
            </w:r>
          </w:p>
        </w:tc>
        <w:tc>
          <w:tcPr>
            <w:tcW w:w="1134" w:type="dxa"/>
            <w:vAlign w:val="center"/>
          </w:tcPr>
          <w:p w:rsidR="00652E02" w:rsidRDefault="00100C0F">
            <w:pPr>
              <w:jc w:val="left"/>
              <w:rPr>
                <w:szCs w:val="21"/>
              </w:rPr>
            </w:pPr>
            <w:r>
              <w:rPr>
                <w:szCs w:val="21"/>
              </w:rPr>
              <w:lastRenderedPageBreak/>
              <w:t>2015,85</w:t>
            </w:r>
            <w:r>
              <w:rPr>
                <w:szCs w:val="21"/>
              </w:rPr>
              <w:lastRenderedPageBreak/>
              <w:t>:756-771</w:t>
            </w:r>
          </w:p>
        </w:tc>
        <w:tc>
          <w:tcPr>
            <w:tcW w:w="686" w:type="dxa"/>
            <w:vAlign w:val="center"/>
          </w:tcPr>
          <w:p w:rsidR="00652E02" w:rsidRDefault="00100C0F">
            <w:pPr>
              <w:jc w:val="center"/>
              <w:rPr>
                <w:szCs w:val="21"/>
              </w:rPr>
            </w:pPr>
            <w:r>
              <w:rPr>
                <w:szCs w:val="21"/>
              </w:rPr>
              <w:lastRenderedPageBreak/>
              <w:t>201</w:t>
            </w:r>
            <w:r>
              <w:rPr>
                <w:szCs w:val="21"/>
              </w:rPr>
              <w:lastRenderedPageBreak/>
              <w:t>5</w:t>
            </w:r>
          </w:p>
        </w:tc>
        <w:tc>
          <w:tcPr>
            <w:tcW w:w="690" w:type="dxa"/>
            <w:vAlign w:val="center"/>
          </w:tcPr>
          <w:p w:rsidR="00652E02" w:rsidRDefault="00100C0F">
            <w:pPr>
              <w:jc w:val="center"/>
              <w:rPr>
                <w:szCs w:val="21"/>
              </w:rPr>
            </w:pPr>
            <w:proofErr w:type="spellStart"/>
            <w:r>
              <w:rPr>
                <w:szCs w:val="21"/>
              </w:rPr>
              <w:lastRenderedPageBreak/>
              <w:t>Fen</w:t>
            </w:r>
            <w:r>
              <w:rPr>
                <w:szCs w:val="21"/>
              </w:rPr>
              <w:lastRenderedPageBreak/>
              <w:t>g</w:t>
            </w:r>
            <w:proofErr w:type="spellEnd"/>
            <w:r>
              <w:rPr>
                <w:szCs w:val="21"/>
              </w:rPr>
              <w:t xml:space="preserve"> Wu</w:t>
            </w:r>
          </w:p>
        </w:tc>
        <w:tc>
          <w:tcPr>
            <w:tcW w:w="690" w:type="dxa"/>
            <w:vAlign w:val="center"/>
          </w:tcPr>
          <w:p w:rsidR="00652E02" w:rsidRDefault="00100C0F">
            <w:pPr>
              <w:jc w:val="center"/>
              <w:rPr>
                <w:szCs w:val="21"/>
              </w:rPr>
            </w:pPr>
            <w:proofErr w:type="spellStart"/>
            <w:r>
              <w:rPr>
                <w:szCs w:val="21"/>
              </w:rPr>
              <w:lastRenderedPageBreak/>
              <w:t>Fen</w:t>
            </w:r>
            <w:r>
              <w:rPr>
                <w:szCs w:val="21"/>
              </w:rPr>
              <w:lastRenderedPageBreak/>
              <w:t>g</w:t>
            </w:r>
            <w:proofErr w:type="spellEnd"/>
            <w:r>
              <w:rPr>
                <w:szCs w:val="21"/>
              </w:rPr>
              <w:t xml:space="preserve"> Wu</w:t>
            </w:r>
          </w:p>
        </w:tc>
        <w:tc>
          <w:tcPr>
            <w:tcW w:w="394" w:type="dxa"/>
            <w:vAlign w:val="center"/>
          </w:tcPr>
          <w:p w:rsidR="00652E02" w:rsidRDefault="00100C0F">
            <w:pPr>
              <w:jc w:val="center"/>
              <w:rPr>
                <w:szCs w:val="21"/>
              </w:rPr>
            </w:pPr>
            <w:r>
              <w:rPr>
                <w:szCs w:val="21"/>
              </w:rPr>
              <w:lastRenderedPageBreak/>
              <w:t>是</w:t>
            </w:r>
          </w:p>
        </w:tc>
      </w:tr>
      <w:tr w:rsidR="00652E02">
        <w:tc>
          <w:tcPr>
            <w:tcW w:w="395" w:type="dxa"/>
            <w:vAlign w:val="center"/>
          </w:tcPr>
          <w:p w:rsidR="00652E02" w:rsidRDefault="00100C0F">
            <w:pPr>
              <w:jc w:val="center"/>
              <w:rPr>
                <w:szCs w:val="21"/>
              </w:rPr>
            </w:pPr>
            <w:r>
              <w:rPr>
                <w:rFonts w:hint="eastAsia"/>
                <w:szCs w:val="21"/>
              </w:rPr>
              <w:lastRenderedPageBreak/>
              <w:t>2</w:t>
            </w:r>
          </w:p>
        </w:tc>
        <w:tc>
          <w:tcPr>
            <w:tcW w:w="1556" w:type="dxa"/>
            <w:vAlign w:val="center"/>
          </w:tcPr>
          <w:p w:rsidR="00652E02" w:rsidRDefault="00100C0F">
            <w:pPr>
              <w:jc w:val="left"/>
              <w:rPr>
                <w:szCs w:val="21"/>
              </w:rPr>
            </w:pPr>
            <w:r>
              <w:rPr>
                <w:szCs w:val="21"/>
              </w:rPr>
              <w:t>Spontaneous Wrinkling Pattern of a Constrained Thin Film Membrane.</w:t>
            </w:r>
          </w:p>
        </w:tc>
        <w:tc>
          <w:tcPr>
            <w:tcW w:w="1559" w:type="dxa"/>
            <w:vAlign w:val="center"/>
          </w:tcPr>
          <w:p w:rsidR="00652E02" w:rsidRDefault="00100C0F">
            <w:pPr>
              <w:jc w:val="center"/>
              <w:rPr>
                <w:szCs w:val="21"/>
              </w:rPr>
            </w:pPr>
            <w:r>
              <w:rPr>
                <w:szCs w:val="21"/>
              </w:rPr>
              <w:t>Applied Physics A, Rapid Communication</w:t>
            </w:r>
          </w:p>
        </w:tc>
        <w:tc>
          <w:tcPr>
            <w:tcW w:w="1418" w:type="dxa"/>
            <w:vAlign w:val="center"/>
          </w:tcPr>
          <w:p w:rsidR="00652E02" w:rsidRDefault="00100C0F">
            <w:pPr>
              <w:jc w:val="center"/>
              <w:rPr>
                <w:szCs w:val="21"/>
              </w:rPr>
            </w:pPr>
            <w:r>
              <w:rPr>
                <w:szCs w:val="21"/>
              </w:rPr>
              <w:t xml:space="preserve">Yuan Yan^, </w:t>
            </w:r>
            <w:proofErr w:type="spellStart"/>
            <w:r>
              <w:rPr>
                <w:szCs w:val="21"/>
              </w:rPr>
              <w:t>Binglei</w:t>
            </w:r>
            <w:proofErr w:type="spellEnd"/>
            <w:r>
              <w:rPr>
                <w:szCs w:val="21"/>
              </w:rPr>
              <w:t xml:space="preserve"> Wang^, </w:t>
            </w:r>
            <w:proofErr w:type="spellStart"/>
            <w:r>
              <w:rPr>
                <w:szCs w:val="21"/>
              </w:rPr>
              <w:t>Jie</w:t>
            </w:r>
            <w:proofErr w:type="spellEnd"/>
            <w:r>
              <w:rPr>
                <w:szCs w:val="21"/>
              </w:rPr>
              <w:t xml:space="preserve"> Yin^, </w:t>
            </w:r>
            <w:proofErr w:type="spellStart"/>
            <w:r>
              <w:rPr>
                <w:szCs w:val="21"/>
              </w:rPr>
              <w:t>Tiejun</w:t>
            </w:r>
            <w:proofErr w:type="spellEnd"/>
            <w:r>
              <w:rPr>
                <w:szCs w:val="21"/>
              </w:rPr>
              <w:t xml:space="preserve"> Wang and Xi Chen*</w:t>
            </w:r>
          </w:p>
        </w:tc>
        <w:tc>
          <w:tcPr>
            <w:tcW w:w="1134" w:type="dxa"/>
            <w:vAlign w:val="center"/>
          </w:tcPr>
          <w:p w:rsidR="00652E02" w:rsidRDefault="00100C0F">
            <w:pPr>
              <w:jc w:val="left"/>
              <w:rPr>
                <w:szCs w:val="21"/>
              </w:rPr>
            </w:pPr>
            <w:r>
              <w:rPr>
                <w:szCs w:val="21"/>
              </w:rPr>
              <w:t>2012, 107: 761-767</w:t>
            </w:r>
          </w:p>
        </w:tc>
        <w:tc>
          <w:tcPr>
            <w:tcW w:w="686" w:type="dxa"/>
            <w:vAlign w:val="center"/>
          </w:tcPr>
          <w:p w:rsidR="00652E02" w:rsidRDefault="00100C0F">
            <w:pPr>
              <w:jc w:val="center"/>
              <w:rPr>
                <w:szCs w:val="21"/>
              </w:rPr>
            </w:pPr>
            <w:r>
              <w:rPr>
                <w:rFonts w:hint="eastAsia"/>
                <w:szCs w:val="21"/>
              </w:rPr>
              <w:t>2012</w:t>
            </w:r>
          </w:p>
        </w:tc>
        <w:tc>
          <w:tcPr>
            <w:tcW w:w="690" w:type="dxa"/>
            <w:vAlign w:val="center"/>
          </w:tcPr>
          <w:p w:rsidR="00652E02" w:rsidRDefault="00100C0F">
            <w:pPr>
              <w:jc w:val="center"/>
              <w:rPr>
                <w:szCs w:val="21"/>
              </w:rPr>
            </w:pPr>
            <w:r>
              <w:rPr>
                <w:szCs w:val="21"/>
              </w:rPr>
              <w:t>Yuan Yan</w:t>
            </w:r>
          </w:p>
        </w:tc>
        <w:tc>
          <w:tcPr>
            <w:tcW w:w="690" w:type="dxa"/>
            <w:vAlign w:val="center"/>
          </w:tcPr>
          <w:p w:rsidR="00652E02" w:rsidRDefault="00100C0F">
            <w:pPr>
              <w:jc w:val="center"/>
              <w:rPr>
                <w:szCs w:val="21"/>
              </w:rPr>
            </w:pPr>
            <w:r>
              <w:rPr>
                <w:szCs w:val="21"/>
              </w:rPr>
              <w:t>Yuan Yan</w:t>
            </w:r>
          </w:p>
        </w:tc>
        <w:tc>
          <w:tcPr>
            <w:tcW w:w="394" w:type="dxa"/>
            <w:vAlign w:val="center"/>
          </w:tcPr>
          <w:p w:rsidR="00652E02" w:rsidRDefault="00100C0F">
            <w:pPr>
              <w:jc w:val="center"/>
              <w:rPr>
                <w:szCs w:val="21"/>
              </w:rPr>
            </w:pPr>
            <w:r>
              <w:rPr>
                <w:szCs w:val="21"/>
              </w:rPr>
              <w:t>是</w:t>
            </w:r>
          </w:p>
        </w:tc>
      </w:tr>
      <w:tr w:rsidR="00652E02">
        <w:tc>
          <w:tcPr>
            <w:tcW w:w="395" w:type="dxa"/>
            <w:vAlign w:val="center"/>
          </w:tcPr>
          <w:p w:rsidR="00652E02" w:rsidRDefault="00100C0F">
            <w:pPr>
              <w:jc w:val="center"/>
              <w:rPr>
                <w:szCs w:val="21"/>
              </w:rPr>
            </w:pPr>
            <w:r>
              <w:rPr>
                <w:rFonts w:hint="eastAsia"/>
                <w:szCs w:val="21"/>
              </w:rPr>
              <w:lastRenderedPageBreak/>
              <w:t>3</w:t>
            </w:r>
          </w:p>
        </w:tc>
        <w:tc>
          <w:tcPr>
            <w:tcW w:w="1556" w:type="dxa"/>
            <w:vAlign w:val="center"/>
          </w:tcPr>
          <w:p w:rsidR="00652E02" w:rsidRDefault="00100C0F">
            <w:pPr>
              <w:jc w:val="left"/>
              <w:rPr>
                <w:szCs w:val="21"/>
              </w:rPr>
            </w:pPr>
            <w:r>
              <w:rPr>
                <w:rFonts w:hint="eastAsia"/>
                <w:szCs w:val="21"/>
              </w:rPr>
              <w:t>高含硫天然气净化装置再生塔底贫胺液泵泵轴</w:t>
            </w:r>
            <w:r>
              <w:rPr>
                <w:rFonts w:hint="eastAsia"/>
                <w:szCs w:val="21"/>
              </w:rPr>
              <w:t xml:space="preserve"> </w:t>
            </w:r>
            <w:r>
              <w:rPr>
                <w:rFonts w:hint="eastAsia"/>
                <w:szCs w:val="21"/>
              </w:rPr>
              <w:t>失效分析与试验研究</w:t>
            </w:r>
          </w:p>
        </w:tc>
        <w:tc>
          <w:tcPr>
            <w:tcW w:w="1559" w:type="dxa"/>
            <w:vAlign w:val="center"/>
          </w:tcPr>
          <w:p w:rsidR="00652E02" w:rsidRDefault="00100C0F">
            <w:pPr>
              <w:jc w:val="center"/>
              <w:rPr>
                <w:szCs w:val="21"/>
              </w:rPr>
            </w:pPr>
            <w:r>
              <w:rPr>
                <w:rFonts w:hint="eastAsia"/>
                <w:szCs w:val="21"/>
              </w:rPr>
              <w:t>流体机械</w:t>
            </w:r>
          </w:p>
        </w:tc>
        <w:tc>
          <w:tcPr>
            <w:tcW w:w="1418" w:type="dxa"/>
            <w:vAlign w:val="center"/>
          </w:tcPr>
          <w:p w:rsidR="00652E02" w:rsidRDefault="00100C0F">
            <w:pPr>
              <w:jc w:val="center"/>
              <w:rPr>
                <w:szCs w:val="21"/>
              </w:rPr>
            </w:pPr>
            <w:r>
              <w:rPr>
                <w:rFonts w:hint="eastAsia"/>
                <w:szCs w:val="21"/>
              </w:rPr>
              <w:t>张杰；闫渊；吴峰</w:t>
            </w:r>
          </w:p>
        </w:tc>
        <w:tc>
          <w:tcPr>
            <w:tcW w:w="1134" w:type="dxa"/>
            <w:vAlign w:val="center"/>
          </w:tcPr>
          <w:p w:rsidR="00652E02" w:rsidRDefault="00100C0F">
            <w:pPr>
              <w:jc w:val="left"/>
              <w:rPr>
                <w:szCs w:val="21"/>
              </w:rPr>
            </w:pPr>
            <w:r>
              <w:rPr>
                <w:rFonts w:hint="eastAsia"/>
                <w:szCs w:val="21"/>
              </w:rPr>
              <w:t>2020, 48 (10</w:t>
            </w:r>
            <w:proofErr w:type="gramStart"/>
            <w:r>
              <w:rPr>
                <w:rFonts w:hint="eastAsia"/>
                <w:szCs w:val="21"/>
              </w:rPr>
              <w:t>) :</w:t>
            </w:r>
            <w:proofErr w:type="gramEnd"/>
            <w:r>
              <w:rPr>
                <w:rFonts w:hint="eastAsia"/>
                <w:szCs w:val="21"/>
              </w:rPr>
              <w:t xml:space="preserve"> 54-58.</w:t>
            </w:r>
          </w:p>
          <w:p w:rsidR="00652E02" w:rsidRDefault="00652E02">
            <w:pPr>
              <w:jc w:val="left"/>
              <w:rPr>
                <w:szCs w:val="21"/>
              </w:rPr>
            </w:pPr>
          </w:p>
        </w:tc>
        <w:tc>
          <w:tcPr>
            <w:tcW w:w="686" w:type="dxa"/>
            <w:vAlign w:val="center"/>
          </w:tcPr>
          <w:p w:rsidR="00652E02" w:rsidRDefault="00100C0F">
            <w:pPr>
              <w:jc w:val="center"/>
              <w:rPr>
                <w:szCs w:val="21"/>
              </w:rPr>
            </w:pPr>
            <w:r>
              <w:rPr>
                <w:rFonts w:hint="eastAsia"/>
                <w:szCs w:val="21"/>
              </w:rPr>
              <w:t>2020</w:t>
            </w:r>
          </w:p>
        </w:tc>
        <w:tc>
          <w:tcPr>
            <w:tcW w:w="690" w:type="dxa"/>
            <w:vAlign w:val="center"/>
          </w:tcPr>
          <w:p w:rsidR="00652E02" w:rsidRDefault="00100C0F">
            <w:pPr>
              <w:jc w:val="center"/>
              <w:rPr>
                <w:szCs w:val="21"/>
              </w:rPr>
            </w:pPr>
            <w:r>
              <w:rPr>
                <w:rFonts w:hint="eastAsia"/>
                <w:szCs w:val="21"/>
              </w:rPr>
              <w:t>张杰</w:t>
            </w:r>
          </w:p>
        </w:tc>
        <w:tc>
          <w:tcPr>
            <w:tcW w:w="690" w:type="dxa"/>
            <w:vAlign w:val="center"/>
          </w:tcPr>
          <w:p w:rsidR="00652E02" w:rsidRDefault="00100C0F">
            <w:pPr>
              <w:jc w:val="center"/>
              <w:rPr>
                <w:szCs w:val="21"/>
              </w:rPr>
            </w:pPr>
            <w:r>
              <w:rPr>
                <w:rFonts w:hint="eastAsia"/>
                <w:szCs w:val="21"/>
              </w:rPr>
              <w:t>张洪军</w:t>
            </w:r>
          </w:p>
        </w:tc>
        <w:tc>
          <w:tcPr>
            <w:tcW w:w="394" w:type="dxa"/>
            <w:vAlign w:val="center"/>
          </w:tcPr>
          <w:p w:rsidR="00652E02" w:rsidRDefault="00100C0F">
            <w:pPr>
              <w:jc w:val="center"/>
              <w:rPr>
                <w:szCs w:val="21"/>
              </w:rPr>
            </w:pPr>
            <w:r>
              <w:rPr>
                <w:szCs w:val="21"/>
              </w:rPr>
              <w:t>是</w:t>
            </w:r>
          </w:p>
        </w:tc>
      </w:tr>
      <w:tr w:rsidR="00652E02">
        <w:tc>
          <w:tcPr>
            <w:tcW w:w="395" w:type="dxa"/>
            <w:vAlign w:val="center"/>
          </w:tcPr>
          <w:p w:rsidR="00652E02" w:rsidRDefault="00100C0F">
            <w:pPr>
              <w:jc w:val="center"/>
              <w:rPr>
                <w:szCs w:val="21"/>
              </w:rPr>
            </w:pPr>
            <w:r>
              <w:rPr>
                <w:rFonts w:hint="eastAsia"/>
                <w:szCs w:val="21"/>
              </w:rPr>
              <w:t>4</w:t>
            </w:r>
          </w:p>
        </w:tc>
        <w:tc>
          <w:tcPr>
            <w:tcW w:w="1556" w:type="dxa"/>
            <w:vAlign w:val="center"/>
          </w:tcPr>
          <w:p w:rsidR="00652E02" w:rsidRDefault="00100C0F">
            <w:pPr>
              <w:jc w:val="left"/>
              <w:rPr>
                <w:szCs w:val="21"/>
              </w:rPr>
            </w:pPr>
            <w:r>
              <w:rPr>
                <w:szCs w:val="21"/>
              </w:rPr>
              <w:t>90°</w:t>
            </w:r>
            <w:r>
              <w:rPr>
                <w:szCs w:val="21"/>
              </w:rPr>
              <w:t>弯管内冲蚀磨损的试验研究和数值计算</w:t>
            </w:r>
          </w:p>
        </w:tc>
        <w:tc>
          <w:tcPr>
            <w:tcW w:w="1559" w:type="dxa"/>
            <w:vAlign w:val="center"/>
          </w:tcPr>
          <w:p w:rsidR="00652E02" w:rsidRDefault="00100C0F">
            <w:pPr>
              <w:jc w:val="center"/>
              <w:rPr>
                <w:szCs w:val="21"/>
              </w:rPr>
            </w:pPr>
            <w:r>
              <w:rPr>
                <w:szCs w:val="21"/>
              </w:rPr>
              <w:t>当代化工</w:t>
            </w:r>
          </w:p>
        </w:tc>
        <w:tc>
          <w:tcPr>
            <w:tcW w:w="1418" w:type="dxa"/>
            <w:vAlign w:val="center"/>
          </w:tcPr>
          <w:p w:rsidR="00652E02" w:rsidRDefault="00100C0F">
            <w:pPr>
              <w:jc w:val="left"/>
              <w:rPr>
                <w:szCs w:val="21"/>
              </w:rPr>
            </w:pPr>
            <w:proofErr w:type="gramStart"/>
            <w:r>
              <w:rPr>
                <w:szCs w:val="21"/>
              </w:rPr>
              <w:t>许留云</w:t>
            </w:r>
            <w:proofErr w:type="gramEnd"/>
            <w:r>
              <w:rPr>
                <w:rFonts w:hint="eastAsia"/>
                <w:szCs w:val="21"/>
              </w:rPr>
              <w:t>,</w:t>
            </w:r>
            <w:r>
              <w:rPr>
                <w:szCs w:val="21"/>
              </w:rPr>
              <w:t>胡</w:t>
            </w:r>
            <w:proofErr w:type="gramStart"/>
            <w:r>
              <w:rPr>
                <w:szCs w:val="21"/>
              </w:rPr>
              <w:t>泷</w:t>
            </w:r>
            <w:proofErr w:type="gramEnd"/>
            <w:r>
              <w:rPr>
                <w:szCs w:val="21"/>
              </w:rPr>
              <w:t>艺</w:t>
            </w:r>
            <w:r>
              <w:rPr>
                <w:rFonts w:hint="eastAsia"/>
                <w:szCs w:val="21"/>
              </w:rPr>
              <w:t>,</w:t>
            </w:r>
            <w:r>
              <w:rPr>
                <w:szCs w:val="21"/>
              </w:rPr>
              <w:t>姚赛</w:t>
            </w:r>
          </w:p>
          <w:p w:rsidR="00652E02" w:rsidRDefault="00100C0F">
            <w:pPr>
              <w:jc w:val="left"/>
              <w:rPr>
                <w:szCs w:val="21"/>
              </w:rPr>
            </w:pPr>
            <w:r>
              <w:rPr>
                <w:szCs w:val="21"/>
              </w:rPr>
              <w:t>李林辉</w:t>
            </w:r>
            <w:r>
              <w:rPr>
                <w:rFonts w:hint="eastAsia"/>
                <w:szCs w:val="21"/>
              </w:rPr>
              <w:t>,</w:t>
            </w:r>
            <w:r>
              <w:rPr>
                <w:szCs w:val="21"/>
              </w:rPr>
              <w:t>李翔</w:t>
            </w:r>
          </w:p>
        </w:tc>
        <w:tc>
          <w:tcPr>
            <w:tcW w:w="1134" w:type="dxa"/>
            <w:vAlign w:val="center"/>
          </w:tcPr>
          <w:p w:rsidR="00652E02" w:rsidRDefault="00100C0F">
            <w:pPr>
              <w:jc w:val="left"/>
              <w:rPr>
                <w:szCs w:val="21"/>
              </w:rPr>
            </w:pPr>
            <w:r>
              <w:rPr>
                <w:szCs w:val="21"/>
              </w:rPr>
              <w:t>2017,46(02):308-310+315</w:t>
            </w:r>
          </w:p>
        </w:tc>
        <w:tc>
          <w:tcPr>
            <w:tcW w:w="686" w:type="dxa"/>
            <w:vAlign w:val="center"/>
          </w:tcPr>
          <w:p w:rsidR="00652E02" w:rsidRDefault="00100C0F">
            <w:pPr>
              <w:jc w:val="center"/>
              <w:rPr>
                <w:szCs w:val="21"/>
              </w:rPr>
            </w:pPr>
            <w:r>
              <w:rPr>
                <w:szCs w:val="21"/>
              </w:rPr>
              <w:t>2017</w:t>
            </w:r>
          </w:p>
        </w:tc>
        <w:tc>
          <w:tcPr>
            <w:tcW w:w="690" w:type="dxa"/>
            <w:vAlign w:val="center"/>
          </w:tcPr>
          <w:p w:rsidR="00652E02" w:rsidRDefault="00100C0F">
            <w:pPr>
              <w:jc w:val="center"/>
              <w:rPr>
                <w:szCs w:val="21"/>
              </w:rPr>
            </w:pPr>
            <w:r>
              <w:rPr>
                <w:szCs w:val="21"/>
              </w:rPr>
              <w:t>李翔</w:t>
            </w:r>
          </w:p>
        </w:tc>
        <w:tc>
          <w:tcPr>
            <w:tcW w:w="690" w:type="dxa"/>
            <w:vAlign w:val="center"/>
          </w:tcPr>
          <w:p w:rsidR="00652E02" w:rsidRDefault="00100C0F">
            <w:pPr>
              <w:jc w:val="center"/>
              <w:rPr>
                <w:szCs w:val="21"/>
              </w:rPr>
            </w:pPr>
            <w:proofErr w:type="gramStart"/>
            <w:r>
              <w:rPr>
                <w:szCs w:val="21"/>
              </w:rPr>
              <w:t>许留云</w:t>
            </w:r>
            <w:proofErr w:type="gramEnd"/>
          </w:p>
        </w:tc>
        <w:tc>
          <w:tcPr>
            <w:tcW w:w="394" w:type="dxa"/>
            <w:vAlign w:val="center"/>
          </w:tcPr>
          <w:p w:rsidR="00652E02" w:rsidRDefault="00100C0F">
            <w:pPr>
              <w:jc w:val="center"/>
              <w:rPr>
                <w:szCs w:val="21"/>
              </w:rPr>
            </w:pPr>
            <w:r>
              <w:rPr>
                <w:szCs w:val="21"/>
              </w:rPr>
              <w:t>是</w:t>
            </w:r>
          </w:p>
        </w:tc>
      </w:tr>
    </w:tbl>
    <w:p w:rsidR="00652E02" w:rsidRDefault="00652E02">
      <w:pPr>
        <w:spacing w:line="360" w:lineRule="auto"/>
        <w:rPr>
          <w:rFonts w:eastAsia="仿宋_GB2312"/>
          <w:b/>
        </w:rPr>
      </w:pPr>
    </w:p>
    <w:p w:rsidR="00652E02" w:rsidRDefault="00100C0F">
      <w:pPr>
        <w:spacing w:line="360" w:lineRule="auto"/>
        <w:rPr>
          <w:rFonts w:eastAsia="仿宋_GB2312"/>
          <w:b/>
        </w:rPr>
      </w:pPr>
      <w:r>
        <w:rPr>
          <w:rFonts w:eastAsia="仿宋_GB2312"/>
          <w:b/>
        </w:rPr>
        <w:t>七、主要完成人情况</w:t>
      </w:r>
      <w:r>
        <w:rPr>
          <w:rFonts w:eastAsia="仿宋_GB2312" w:hint="eastAsia"/>
          <w:b/>
        </w:rPr>
        <w:t>（</w:t>
      </w:r>
      <w:r>
        <w:rPr>
          <w:rFonts w:ascii="仿宋_GB2312" w:eastAsia="仿宋_GB2312" w:hint="eastAsia"/>
        </w:rPr>
        <w:t>“主要完成人情况”摘自“主要完成人情况表”中的部分内容，公示姓名、排名、行政职务、技术职称、工作单位、完成单位、对本项目贡献。</w:t>
      </w:r>
      <w:r>
        <w:rPr>
          <w:rFonts w:eastAsia="仿宋_GB2312" w:hint="eastAsia"/>
          <w:b/>
        </w:rPr>
        <w:t>）</w:t>
      </w:r>
    </w:p>
    <w:tbl>
      <w:tblPr>
        <w:tblStyle w:val="a6"/>
        <w:tblW w:w="0" w:type="auto"/>
        <w:tblLook w:val="04A0" w:firstRow="1" w:lastRow="0" w:firstColumn="1" w:lastColumn="0" w:noHBand="0" w:noVBand="1"/>
      </w:tblPr>
      <w:tblGrid>
        <w:gridCol w:w="1028"/>
        <w:gridCol w:w="498"/>
        <w:gridCol w:w="850"/>
        <w:gridCol w:w="993"/>
        <w:gridCol w:w="1417"/>
        <w:gridCol w:w="1276"/>
        <w:gridCol w:w="2460"/>
      </w:tblGrid>
      <w:tr w:rsidR="00652E02">
        <w:tc>
          <w:tcPr>
            <w:tcW w:w="1028" w:type="dxa"/>
            <w:vAlign w:val="center"/>
          </w:tcPr>
          <w:p w:rsidR="00652E02" w:rsidRDefault="00100C0F">
            <w:pPr>
              <w:spacing w:line="276" w:lineRule="auto"/>
              <w:jc w:val="center"/>
              <w:rPr>
                <w:rFonts w:ascii="仿宋" w:eastAsia="仿宋" w:hAnsi="仿宋"/>
                <w:b/>
              </w:rPr>
            </w:pPr>
            <w:r>
              <w:rPr>
                <w:rFonts w:ascii="仿宋" w:eastAsia="仿宋" w:hAnsi="仿宋"/>
                <w:b/>
              </w:rPr>
              <w:t>姓名</w:t>
            </w:r>
          </w:p>
        </w:tc>
        <w:tc>
          <w:tcPr>
            <w:tcW w:w="498" w:type="dxa"/>
            <w:vAlign w:val="center"/>
          </w:tcPr>
          <w:p w:rsidR="00652E02" w:rsidRDefault="00100C0F">
            <w:pPr>
              <w:spacing w:line="276" w:lineRule="auto"/>
              <w:jc w:val="center"/>
              <w:rPr>
                <w:rFonts w:ascii="仿宋" w:eastAsia="仿宋" w:hAnsi="仿宋"/>
                <w:b/>
              </w:rPr>
            </w:pPr>
            <w:r>
              <w:rPr>
                <w:rFonts w:ascii="仿宋" w:eastAsia="仿宋" w:hAnsi="仿宋"/>
                <w:b/>
              </w:rPr>
              <w:t>排名</w:t>
            </w:r>
          </w:p>
        </w:tc>
        <w:tc>
          <w:tcPr>
            <w:tcW w:w="850" w:type="dxa"/>
            <w:vAlign w:val="center"/>
          </w:tcPr>
          <w:p w:rsidR="00652E02" w:rsidRDefault="00100C0F">
            <w:pPr>
              <w:spacing w:line="276" w:lineRule="auto"/>
              <w:jc w:val="center"/>
              <w:rPr>
                <w:rFonts w:ascii="仿宋" w:eastAsia="仿宋" w:hAnsi="仿宋"/>
                <w:b/>
              </w:rPr>
            </w:pPr>
            <w:r>
              <w:rPr>
                <w:rFonts w:ascii="仿宋" w:eastAsia="仿宋" w:hAnsi="仿宋"/>
                <w:b/>
              </w:rPr>
              <w:t>行政职务</w:t>
            </w:r>
          </w:p>
        </w:tc>
        <w:tc>
          <w:tcPr>
            <w:tcW w:w="993" w:type="dxa"/>
            <w:vAlign w:val="center"/>
          </w:tcPr>
          <w:p w:rsidR="00652E02" w:rsidRDefault="00100C0F">
            <w:pPr>
              <w:spacing w:line="276" w:lineRule="auto"/>
              <w:jc w:val="center"/>
              <w:rPr>
                <w:rFonts w:ascii="仿宋" w:eastAsia="仿宋" w:hAnsi="仿宋"/>
                <w:b/>
              </w:rPr>
            </w:pPr>
            <w:r>
              <w:rPr>
                <w:rFonts w:ascii="仿宋" w:eastAsia="仿宋" w:hAnsi="仿宋"/>
                <w:b/>
              </w:rPr>
              <w:t>技术职称</w:t>
            </w:r>
          </w:p>
        </w:tc>
        <w:tc>
          <w:tcPr>
            <w:tcW w:w="1417" w:type="dxa"/>
            <w:vAlign w:val="center"/>
          </w:tcPr>
          <w:p w:rsidR="00652E02" w:rsidRDefault="00100C0F">
            <w:pPr>
              <w:spacing w:line="276" w:lineRule="auto"/>
              <w:jc w:val="center"/>
              <w:rPr>
                <w:rFonts w:ascii="仿宋" w:eastAsia="仿宋" w:hAnsi="仿宋"/>
                <w:b/>
              </w:rPr>
            </w:pPr>
            <w:r>
              <w:rPr>
                <w:rFonts w:ascii="仿宋" w:eastAsia="仿宋" w:hAnsi="仿宋"/>
                <w:b/>
              </w:rPr>
              <w:t>工作单位</w:t>
            </w:r>
          </w:p>
        </w:tc>
        <w:tc>
          <w:tcPr>
            <w:tcW w:w="1276" w:type="dxa"/>
            <w:vAlign w:val="center"/>
          </w:tcPr>
          <w:p w:rsidR="00652E02" w:rsidRDefault="00100C0F">
            <w:pPr>
              <w:spacing w:line="276" w:lineRule="auto"/>
              <w:jc w:val="center"/>
              <w:rPr>
                <w:rFonts w:ascii="仿宋" w:eastAsia="仿宋" w:hAnsi="仿宋"/>
                <w:b/>
              </w:rPr>
            </w:pPr>
            <w:r>
              <w:rPr>
                <w:rFonts w:ascii="仿宋" w:eastAsia="仿宋" w:hAnsi="仿宋"/>
                <w:b/>
              </w:rPr>
              <w:t>完成单位</w:t>
            </w:r>
          </w:p>
        </w:tc>
        <w:tc>
          <w:tcPr>
            <w:tcW w:w="2460" w:type="dxa"/>
            <w:vAlign w:val="center"/>
          </w:tcPr>
          <w:p w:rsidR="00652E02" w:rsidRDefault="00100C0F">
            <w:pPr>
              <w:spacing w:line="276" w:lineRule="auto"/>
              <w:jc w:val="center"/>
              <w:rPr>
                <w:rFonts w:ascii="仿宋" w:eastAsia="仿宋" w:hAnsi="仿宋"/>
                <w:b/>
              </w:rPr>
            </w:pPr>
            <w:r>
              <w:rPr>
                <w:rFonts w:ascii="仿宋" w:eastAsia="仿宋" w:hAnsi="仿宋"/>
                <w:b/>
              </w:rPr>
              <w:t>对本项目贡献</w:t>
            </w:r>
          </w:p>
        </w:tc>
      </w:tr>
      <w:tr w:rsidR="00652E02">
        <w:tc>
          <w:tcPr>
            <w:tcW w:w="102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吴峰</w:t>
            </w:r>
          </w:p>
        </w:tc>
        <w:tc>
          <w:tcPr>
            <w:tcW w:w="49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850"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系主任</w:t>
            </w:r>
          </w:p>
        </w:tc>
        <w:tc>
          <w:tcPr>
            <w:tcW w:w="993"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正高</w:t>
            </w:r>
          </w:p>
        </w:tc>
        <w:tc>
          <w:tcPr>
            <w:tcW w:w="1417"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西北大学</w:t>
            </w:r>
          </w:p>
        </w:tc>
        <w:tc>
          <w:tcPr>
            <w:tcW w:w="1276"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西北大学</w:t>
            </w:r>
          </w:p>
        </w:tc>
        <w:tc>
          <w:tcPr>
            <w:tcW w:w="2460" w:type="dxa"/>
            <w:vAlign w:val="center"/>
          </w:tcPr>
          <w:p w:rsidR="00652E02" w:rsidRDefault="00100C0F">
            <w:pPr>
              <w:spacing w:line="276"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kern w:val="0"/>
                <w:sz w:val="24"/>
                <w:szCs w:val="24"/>
              </w:rPr>
              <w:t>构建了联合 CFD 模拟与人工智能技术的管道快速</w:t>
            </w:r>
            <w:proofErr w:type="gramStart"/>
            <w:r>
              <w:rPr>
                <w:rFonts w:asciiTheme="minorEastAsia" w:eastAsiaTheme="minorEastAsia" w:hAnsiTheme="minorEastAsia" w:cs="宋体" w:hint="eastAsia"/>
                <w:color w:val="000000"/>
                <w:kern w:val="0"/>
                <w:sz w:val="24"/>
                <w:szCs w:val="24"/>
              </w:rPr>
              <w:t>逆向定漏溯源</w:t>
            </w:r>
            <w:proofErr w:type="gramEnd"/>
            <w:r>
              <w:rPr>
                <w:rFonts w:asciiTheme="minorEastAsia" w:eastAsiaTheme="minorEastAsia" w:hAnsiTheme="minorEastAsia" w:cs="宋体" w:hint="eastAsia"/>
                <w:color w:val="000000"/>
                <w:kern w:val="0"/>
                <w:sz w:val="24"/>
                <w:szCs w:val="24"/>
              </w:rPr>
              <w:t>方法。</w:t>
            </w:r>
          </w:p>
        </w:tc>
      </w:tr>
      <w:tr w:rsidR="00652E02">
        <w:tc>
          <w:tcPr>
            <w:tcW w:w="102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闫渊</w:t>
            </w:r>
          </w:p>
        </w:tc>
        <w:tc>
          <w:tcPr>
            <w:tcW w:w="49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850"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院长</w:t>
            </w:r>
            <w:r>
              <w:rPr>
                <w:rFonts w:asciiTheme="minorEastAsia" w:eastAsiaTheme="minorEastAsia" w:hAnsiTheme="minorEastAsia"/>
                <w:sz w:val="24"/>
                <w:szCs w:val="24"/>
              </w:rPr>
              <w:lastRenderedPageBreak/>
              <w:t>助理</w:t>
            </w:r>
          </w:p>
        </w:tc>
        <w:tc>
          <w:tcPr>
            <w:tcW w:w="993"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中级</w:t>
            </w:r>
          </w:p>
        </w:tc>
        <w:tc>
          <w:tcPr>
            <w:tcW w:w="1417"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西北大学</w:t>
            </w:r>
          </w:p>
        </w:tc>
        <w:tc>
          <w:tcPr>
            <w:tcW w:w="1276"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西北大学</w:t>
            </w:r>
          </w:p>
        </w:tc>
        <w:tc>
          <w:tcPr>
            <w:tcW w:w="2460" w:type="dxa"/>
            <w:vAlign w:val="center"/>
          </w:tcPr>
          <w:p w:rsidR="00652E02" w:rsidRDefault="00100C0F">
            <w:pPr>
              <w:spacing w:line="276"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kern w:val="0"/>
                <w:sz w:val="24"/>
                <w:szCs w:val="24"/>
              </w:rPr>
              <w:t>建立了管道多参数风</w:t>
            </w:r>
            <w:r>
              <w:rPr>
                <w:rFonts w:asciiTheme="minorEastAsia" w:eastAsiaTheme="minorEastAsia" w:hAnsiTheme="minorEastAsia" w:cs="宋体" w:hint="eastAsia"/>
                <w:color w:val="000000"/>
                <w:kern w:val="0"/>
                <w:sz w:val="24"/>
                <w:szCs w:val="24"/>
              </w:rPr>
              <w:lastRenderedPageBreak/>
              <w:t>险评估的力学分析模型与失效分析准则。主持完成了系统的物联网平台设计。</w:t>
            </w:r>
          </w:p>
        </w:tc>
      </w:tr>
      <w:tr w:rsidR="00652E02">
        <w:tc>
          <w:tcPr>
            <w:tcW w:w="102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魏利平</w:t>
            </w:r>
          </w:p>
        </w:tc>
        <w:tc>
          <w:tcPr>
            <w:tcW w:w="49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850"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无</w:t>
            </w:r>
          </w:p>
        </w:tc>
        <w:tc>
          <w:tcPr>
            <w:tcW w:w="993"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副高</w:t>
            </w:r>
          </w:p>
        </w:tc>
        <w:tc>
          <w:tcPr>
            <w:tcW w:w="1417"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西北大学</w:t>
            </w:r>
          </w:p>
        </w:tc>
        <w:tc>
          <w:tcPr>
            <w:tcW w:w="1276"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西北大学</w:t>
            </w:r>
          </w:p>
        </w:tc>
        <w:tc>
          <w:tcPr>
            <w:tcW w:w="2460"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cs="宋体" w:hint="eastAsia"/>
                <w:color w:val="000000"/>
                <w:kern w:val="0"/>
                <w:sz w:val="24"/>
                <w:szCs w:val="24"/>
              </w:rPr>
              <w:t>完成了场站管道与容器泄露成因计算模型与故障分析方法。</w:t>
            </w:r>
          </w:p>
        </w:tc>
      </w:tr>
      <w:tr w:rsidR="00652E02">
        <w:tc>
          <w:tcPr>
            <w:tcW w:w="1028" w:type="dxa"/>
            <w:vAlign w:val="center"/>
          </w:tcPr>
          <w:p w:rsidR="00652E02" w:rsidRDefault="00100C0F">
            <w:pPr>
              <w:spacing w:line="276" w:lineRule="auto"/>
              <w:jc w:val="center"/>
              <w:rPr>
                <w:rFonts w:asciiTheme="minorEastAsia" w:eastAsiaTheme="minorEastAsia" w:hAnsiTheme="minorEastAsia"/>
                <w:sz w:val="24"/>
                <w:szCs w:val="24"/>
              </w:rPr>
            </w:pPr>
            <w:proofErr w:type="gramStart"/>
            <w:r>
              <w:rPr>
                <w:rFonts w:asciiTheme="minorEastAsia" w:eastAsiaTheme="minorEastAsia" w:hAnsiTheme="minorEastAsia"/>
                <w:sz w:val="24"/>
                <w:szCs w:val="24"/>
              </w:rPr>
              <w:t>许留云</w:t>
            </w:r>
            <w:proofErr w:type="gramEnd"/>
          </w:p>
        </w:tc>
        <w:tc>
          <w:tcPr>
            <w:tcW w:w="49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850"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无</w:t>
            </w:r>
          </w:p>
        </w:tc>
        <w:tc>
          <w:tcPr>
            <w:tcW w:w="993"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中级</w:t>
            </w:r>
          </w:p>
        </w:tc>
        <w:tc>
          <w:tcPr>
            <w:tcW w:w="1417"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延安大学</w:t>
            </w:r>
          </w:p>
        </w:tc>
        <w:tc>
          <w:tcPr>
            <w:tcW w:w="1276"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延安大学</w:t>
            </w:r>
          </w:p>
        </w:tc>
        <w:tc>
          <w:tcPr>
            <w:tcW w:w="2460" w:type="dxa"/>
            <w:vAlign w:val="center"/>
          </w:tcPr>
          <w:p w:rsidR="00652E02" w:rsidRDefault="00100C0F">
            <w:pPr>
              <w:spacing w:line="276"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kern w:val="0"/>
                <w:sz w:val="24"/>
                <w:szCs w:val="24"/>
              </w:rPr>
              <w:t>完成了在冲蚀、腐蚀工质条件下管道失效机理与风险评估方法 。</w:t>
            </w:r>
          </w:p>
        </w:tc>
      </w:tr>
      <w:tr w:rsidR="00652E02">
        <w:tc>
          <w:tcPr>
            <w:tcW w:w="102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朱德华</w:t>
            </w:r>
          </w:p>
        </w:tc>
        <w:tc>
          <w:tcPr>
            <w:tcW w:w="49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850"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无</w:t>
            </w:r>
          </w:p>
        </w:tc>
        <w:tc>
          <w:tcPr>
            <w:tcW w:w="993"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正高</w:t>
            </w:r>
          </w:p>
        </w:tc>
        <w:tc>
          <w:tcPr>
            <w:tcW w:w="1417"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中国石油化工股份有限公司中原油田普光分公司</w:t>
            </w:r>
          </w:p>
        </w:tc>
        <w:tc>
          <w:tcPr>
            <w:tcW w:w="1276"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中国石油化工股份有限公司中原油田普光分公司</w:t>
            </w:r>
          </w:p>
        </w:tc>
        <w:tc>
          <w:tcPr>
            <w:tcW w:w="2460" w:type="dxa"/>
            <w:vAlign w:val="center"/>
          </w:tcPr>
          <w:p w:rsidR="00652E02" w:rsidRDefault="00100C0F">
            <w:pPr>
              <w:spacing w:line="276" w:lineRule="auto"/>
              <w:jc w:val="center"/>
              <w:rPr>
                <w:rFonts w:ascii="宋体" w:hAnsi="宋体" w:cs="宋体"/>
                <w:kern w:val="0"/>
                <w:sz w:val="24"/>
                <w:szCs w:val="24"/>
              </w:rPr>
            </w:pPr>
            <w:r>
              <w:rPr>
                <w:rFonts w:asciiTheme="minorEastAsia" w:eastAsiaTheme="minorEastAsia" w:hAnsiTheme="minorEastAsia" w:cs="宋体" w:hint="eastAsia"/>
                <w:color w:val="000000"/>
                <w:kern w:val="0"/>
                <w:sz w:val="24"/>
                <w:szCs w:val="24"/>
              </w:rPr>
              <w:t>完成天然气采气厂</w:t>
            </w:r>
            <w:proofErr w:type="gramStart"/>
            <w:r>
              <w:rPr>
                <w:rFonts w:asciiTheme="minorEastAsia" w:eastAsiaTheme="minorEastAsia" w:hAnsiTheme="minorEastAsia" w:cs="宋体" w:hint="eastAsia"/>
                <w:color w:val="000000"/>
                <w:kern w:val="0"/>
                <w:sz w:val="24"/>
                <w:szCs w:val="24"/>
              </w:rPr>
              <w:t>的定漏溯源</w:t>
            </w:r>
            <w:proofErr w:type="gramEnd"/>
            <w:r>
              <w:rPr>
                <w:rFonts w:asciiTheme="minorEastAsia" w:eastAsiaTheme="minorEastAsia" w:hAnsiTheme="minorEastAsia" w:cs="宋体" w:hint="eastAsia"/>
                <w:color w:val="000000"/>
                <w:kern w:val="0"/>
                <w:sz w:val="24"/>
                <w:szCs w:val="24"/>
              </w:rPr>
              <w:t>监测系统实验</w:t>
            </w:r>
          </w:p>
        </w:tc>
      </w:tr>
      <w:tr w:rsidR="00652E02">
        <w:tc>
          <w:tcPr>
            <w:tcW w:w="102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刘永健</w:t>
            </w:r>
          </w:p>
        </w:tc>
        <w:tc>
          <w:tcPr>
            <w:tcW w:w="49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850"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无</w:t>
            </w:r>
          </w:p>
        </w:tc>
        <w:tc>
          <w:tcPr>
            <w:tcW w:w="993"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副高</w:t>
            </w:r>
          </w:p>
        </w:tc>
        <w:tc>
          <w:tcPr>
            <w:tcW w:w="1417" w:type="dxa"/>
            <w:vAlign w:val="center"/>
          </w:tcPr>
          <w:p w:rsidR="00652E02" w:rsidRDefault="0036019F">
            <w:pPr>
              <w:spacing w:line="276" w:lineRule="auto"/>
              <w:jc w:val="center"/>
              <w:rPr>
                <w:rFonts w:asciiTheme="minorEastAsia" w:eastAsiaTheme="minorEastAsia" w:hAnsiTheme="minorEastAsia"/>
                <w:sz w:val="24"/>
                <w:szCs w:val="24"/>
              </w:rPr>
            </w:pPr>
            <w:r w:rsidRPr="0036019F">
              <w:rPr>
                <w:rFonts w:asciiTheme="minorEastAsia" w:eastAsiaTheme="minorEastAsia" w:hAnsiTheme="minorEastAsia" w:hint="eastAsia"/>
                <w:sz w:val="24"/>
                <w:szCs w:val="24"/>
              </w:rPr>
              <w:t>慧感（上海）物联网科技有限公司</w:t>
            </w:r>
          </w:p>
        </w:tc>
        <w:tc>
          <w:tcPr>
            <w:tcW w:w="1276" w:type="dxa"/>
            <w:vAlign w:val="center"/>
          </w:tcPr>
          <w:p w:rsidR="00652E02" w:rsidRDefault="0036019F">
            <w:pPr>
              <w:spacing w:line="276" w:lineRule="auto"/>
              <w:jc w:val="center"/>
              <w:rPr>
                <w:rFonts w:asciiTheme="minorEastAsia" w:eastAsiaTheme="minorEastAsia" w:hAnsiTheme="minorEastAsia"/>
                <w:sz w:val="24"/>
                <w:szCs w:val="24"/>
              </w:rPr>
            </w:pPr>
            <w:r w:rsidRPr="0036019F">
              <w:rPr>
                <w:rFonts w:asciiTheme="minorEastAsia" w:eastAsiaTheme="minorEastAsia" w:hAnsiTheme="minorEastAsia" w:hint="eastAsia"/>
                <w:sz w:val="24"/>
                <w:szCs w:val="24"/>
              </w:rPr>
              <w:t>慧感（上海）物联网科技有限公司</w:t>
            </w:r>
          </w:p>
        </w:tc>
        <w:tc>
          <w:tcPr>
            <w:tcW w:w="2460" w:type="dxa"/>
            <w:vAlign w:val="center"/>
          </w:tcPr>
          <w:p w:rsidR="00652E02" w:rsidRDefault="00100C0F">
            <w:pPr>
              <w:spacing w:line="276"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完成了管道智能监检测系统精度与可靠性分析与评估方法。</w:t>
            </w:r>
          </w:p>
        </w:tc>
      </w:tr>
      <w:tr w:rsidR="00652E02">
        <w:tc>
          <w:tcPr>
            <w:tcW w:w="102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马志刚</w:t>
            </w:r>
          </w:p>
        </w:tc>
        <w:tc>
          <w:tcPr>
            <w:tcW w:w="49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850"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无</w:t>
            </w:r>
          </w:p>
        </w:tc>
        <w:tc>
          <w:tcPr>
            <w:tcW w:w="993"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正高</w:t>
            </w:r>
          </w:p>
        </w:tc>
        <w:tc>
          <w:tcPr>
            <w:tcW w:w="1417" w:type="dxa"/>
            <w:vAlign w:val="center"/>
          </w:tcPr>
          <w:p w:rsidR="00652E02" w:rsidRDefault="0036019F">
            <w:pPr>
              <w:spacing w:line="276" w:lineRule="auto"/>
              <w:jc w:val="center"/>
              <w:rPr>
                <w:rFonts w:asciiTheme="minorEastAsia" w:eastAsiaTheme="minorEastAsia" w:hAnsiTheme="minorEastAsia"/>
                <w:sz w:val="24"/>
                <w:szCs w:val="24"/>
              </w:rPr>
            </w:pPr>
            <w:r w:rsidRPr="0036019F">
              <w:rPr>
                <w:rFonts w:asciiTheme="minorEastAsia" w:eastAsiaTheme="minorEastAsia" w:hAnsiTheme="minorEastAsia" w:hint="eastAsia"/>
                <w:sz w:val="24"/>
                <w:szCs w:val="24"/>
              </w:rPr>
              <w:t>慧感（上海）物联网科技有限公司</w:t>
            </w:r>
          </w:p>
        </w:tc>
        <w:tc>
          <w:tcPr>
            <w:tcW w:w="1276" w:type="dxa"/>
            <w:vAlign w:val="center"/>
          </w:tcPr>
          <w:p w:rsidR="00652E02" w:rsidRDefault="0036019F">
            <w:pPr>
              <w:spacing w:line="276" w:lineRule="auto"/>
              <w:jc w:val="center"/>
              <w:rPr>
                <w:rFonts w:asciiTheme="minorEastAsia" w:eastAsiaTheme="minorEastAsia" w:hAnsiTheme="minorEastAsia"/>
                <w:sz w:val="24"/>
                <w:szCs w:val="24"/>
              </w:rPr>
            </w:pPr>
            <w:r w:rsidRPr="0036019F">
              <w:rPr>
                <w:rFonts w:asciiTheme="minorEastAsia" w:eastAsiaTheme="minorEastAsia" w:hAnsiTheme="minorEastAsia" w:hint="eastAsia"/>
                <w:sz w:val="24"/>
                <w:szCs w:val="24"/>
              </w:rPr>
              <w:t>慧感（上海）物联网科技有限公司</w:t>
            </w:r>
          </w:p>
        </w:tc>
        <w:tc>
          <w:tcPr>
            <w:tcW w:w="2460" w:type="dxa"/>
            <w:vAlign w:val="center"/>
          </w:tcPr>
          <w:p w:rsidR="00652E02" w:rsidRDefault="00100C0F">
            <w:pPr>
              <w:spacing w:line="276"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完成了管道监测传感设备的系统调试与测试可靠性的实验评估研究。</w:t>
            </w:r>
          </w:p>
        </w:tc>
      </w:tr>
      <w:tr w:rsidR="00652E02">
        <w:tc>
          <w:tcPr>
            <w:tcW w:w="102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尹琦岭</w:t>
            </w:r>
          </w:p>
        </w:tc>
        <w:tc>
          <w:tcPr>
            <w:tcW w:w="498"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850"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无</w:t>
            </w:r>
          </w:p>
        </w:tc>
        <w:tc>
          <w:tcPr>
            <w:tcW w:w="993"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正高</w:t>
            </w:r>
          </w:p>
        </w:tc>
        <w:tc>
          <w:tcPr>
            <w:tcW w:w="1417"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中国石油化工股份有限公司中原油田普光分公司</w:t>
            </w:r>
          </w:p>
        </w:tc>
        <w:tc>
          <w:tcPr>
            <w:tcW w:w="1276" w:type="dxa"/>
            <w:vAlign w:val="center"/>
          </w:tcPr>
          <w:p w:rsidR="00652E02" w:rsidRDefault="00100C0F">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中国石油化工股份有限公司中原油田普光分公司</w:t>
            </w:r>
          </w:p>
        </w:tc>
        <w:tc>
          <w:tcPr>
            <w:tcW w:w="2460" w:type="dxa"/>
            <w:vAlign w:val="center"/>
          </w:tcPr>
          <w:p w:rsidR="00652E02" w:rsidRDefault="00100C0F">
            <w:pPr>
              <w:spacing w:line="276"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完成泄露溯源物联网管理系统的联动测试。</w:t>
            </w:r>
          </w:p>
        </w:tc>
      </w:tr>
    </w:tbl>
    <w:p w:rsidR="00652E02" w:rsidRDefault="00100C0F">
      <w:pPr>
        <w:spacing w:line="360" w:lineRule="auto"/>
        <w:rPr>
          <w:rFonts w:eastAsia="仿宋_GB2312"/>
          <w:b/>
        </w:rPr>
      </w:pPr>
      <w:r>
        <w:rPr>
          <w:rFonts w:eastAsia="仿宋_GB2312"/>
          <w:b/>
        </w:rPr>
        <w:t>八、主要完成单位及创新推广贡献</w:t>
      </w:r>
    </w:p>
    <w:tbl>
      <w:tblPr>
        <w:tblStyle w:val="a6"/>
        <w:tblW w:w="0" w:type="auto"/>
        <w:jc w:val="center"/>
        <w:tblLook w:val="04A0" w:firstRow="1" w:lastRow="0" w:firstColumn="1" w:lastColumn="0" w:noHBand="0" w:noVBand="1"/>
      </w:tblPr>
      <w:tblGrid>
        <w:gridCol w:w="3510"/>
        <w:gridCol w:w="5012"/>
      </w:tblGrid>
      <w:tr w:rsidR="00652E02">
        <w:trPr>
          <w:jc w:val="center"/>
        </w:trPr>
        <w:tc>
          <w:tcPr>
            <w:tcW w:w="3510" w:type="dxa"/>
            <w:vAlign w:val="center"/>
          </w:tcPr>
          <w:p w:rsidR="00652E02" w:rsidRDefault="00100C0F">
            <w:pPr>
              <w:spacing w:line="360" w:lineRule="auto"/>
              <w:jc w:val="center"/>
              <w:rPr>
                <w:rFonts w:eastAsia="仿宋_GB2312"/>
                <w:b/>
              </w:rPr>
            </w:pPr>
            <w:r>
              <w:rPr>
                <w:rFonts w:eastAsia="仿宋_GB2312"/>
                <w:b/>
              </w:rPr>
              <w:t>主要完成单位</w:t>
            </w:r>
          </w:p>
        </w:tc>
        <w:tc>
          <w:tcPr>
            <w:tcW w:w="5012" w:type="dxa"/>
            <w:vAlign w:val="center"/>
          </w:tcPr>
          <w:p w:rsidR="00652E02" w:rsidRDefault="00100C0F">
            <w:pPr>
              <w:spacing w:line="360" w:lineRule="auto"/>
              <w:jc w:val="center"/>
              <w:rPr>
                <w:rFonts w:eastAsia="仿宋_GB2312"/>
                <w:b/>
              </w:rPr>
            </w:pPr>
            <w:r>
              <w:rPr>
                <w:rFonts w:eastAsia="仿宋_GB2312"/>
                <w:b/>
              </w:rPr>
              <w:t>创新推广贡献</w:t>
            </w:r>
          </w:p>
        </w:tc>
      </w:tr>
      <w:tr w:rsidR="00652E02">
        <w:trPr>
          <w:jc w:val="center"/>
        </w:trPr>
        <w:tc>
          <w:tcPr>
            <w:tcW w:w="3510"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西北大学</w:t>
            </w:r>
          </w:p>
        </w:tc>
        <w:tc>
          <w:tcPr>
            <w:tcW w:w="5012" w:type="dxa"/>
            <w:vAlign w:val="center"/>
          </w:tcPr>
          <w:p w:rsidR="00652E02" w:rsidRDefault="00100C0F">
            <w:pPr>
              <w:spacing w:line="276" w:lineRule="auto"/>
              <w:rPr>
                <w:rFonts w:asciiTheme="minorEastAsia" w:eastAsiaTheme="minorEastAsia" w:hAnsiTheme="minorEastAsia"/>
                <w:sz w:val="24"/>
                <w:szCs w:val="24"/>
              </w:rPr>
            </w:pPr>
            <w:r>
              <w:rPr>
                <w:rFonts w:asciiTheme="minorEastAsia" w:eastAsiaTheme="minorEastAsia" w:hAnsiTheme="minorEastAsia" w:cs="宋体" w:hint="eastAsia"/>
                <w:color w:val="000000"/>
                <w:kern w:val="0"/>
                <w:sz w:val="24"/>
                <w:szCs w:val="24"/>
              </w:rPr>
              <w:t>构建了联合 CFD 模拟与人工智能技术的管道快速</w:t>
            </w:r>
            <w:proofErr w:type="gramStart"/>
            <w:r>
              <w:rPr>
                <w:rFonts w:asciiTheme="minorEastAsia" w:eastAsiaTheme="minorEastAsia" w:hAnsiTheme="minorEastAsia" w:cs="宋体" w:hint="eastAsia"/>
                <w:color w:val="000000"/>
                <w:kern w:val="0"/>
                <w:sz w:val="24"/>
                <w:szCs w:val="24"/>
              </w:rPr>
              <w:t>逆向定漏溯源</w:t>
            </w:r>
            <w:proofErr w:type="gramEnd"/>
            <w:r>
              <w:rPr>
                <w:rFonts w:asciiTheme="minorEastAsia" w:eastAsiaTheme="minorEastAsia" w:hAnsiTheme="minorEastAsia" w:cs="宋体" w:hint="eastAsia"/>
                <w:color w:val="000000"/>
                <w:kern w:val="0"/>
                <w:sz w:val="24"/>
                <w:szCs w:val="24"/>
              </w:rPr>
              <w:t>方法，并以此为核心建立了管道多参数风险评估的力学分析模型与失效分析准则。完成了系统的物联网平台设计，设</w:t>
            </w:r>
            <w:r>
              <w:rPr>
                <w:rFonts w:asciiTheme="minorEastAsia" w:eastAsiaTheme="minorEastAsia" w:hAnsiTheme="minorEastAsia" w:cs="宋体" w:hint="eastAsia"/>
                <w:color w:val="000000"/>
                <w:kern w:val="0"/>
                <w:sz w:val="24"/>
                <w:szCs w:val="24"/>
              </w:rPr>
              <w:lastRenderedPageBreak/>
              <w:t>计并验证了场站管道与容器泄露成因计算模型与故障分析方法。</w:t>
            </w:r>
            <w:r>
              <w:rPr>
                <w:rFonts w:asciiTheme="minorEastAsia" w:eastAsiaTheme="minorEastAsia" w:hAnsiTheme="minorEastAsia"/>
                <w:sz w:val="24"/>
                <w:szCs w:val="24"/>
              </w:rPr>
              <w:t xml:space="preserve"> </w:t>
            </w:r>
          </w:p>
          <w:p w:rsidR="00652E02" w:rsidRDefault="00652E02">
            <w:pPr>
              <w:spacing w:line="360" w:lineRule="auto"/>
              <w:jc w:val="center"/>
              <w:rPr>
                <w:rFonts w:eastAsia="仿宋_GB2312"/>
                <w:b/>
                <w:sz w:val="24"/>
                <w:szCs w:val="24"/>
              </w:rPr>
            </w:pPr>
          </w:p>
        </w:tc>
      </w:tr>
      <w:tr w:rsidR="00652E02">
        <w:trPr>
          <w:jc w:val="center"/>
        </w:trPr>
        <w:tc>
          <w:tcPr>
            <w:tcW w:w="3510" w:type="dxa"/>
            <w:vAlign w:val="center"/>
          </w:tcPr>
          <w:p w:rsidR="00652E02" w:rsidRDefault="00100C0F">
            <w:pPr>
              <w:spacing w:line="360" w:lineRule="auto"/>
              <w:jc w:val="center"/>
              <w:rPr>
                <w:rFonts w:eastAsia="仿宋_GB2312"/>
                <w:b/>
                <w:sz w:val="24"/>
                <w:szCs w:val="24"/>
              </w:rPr>
            </w:pPr>
            <w:r>
              <w:rPr>
                <w:rFonts w:asciiTheme="minorEastAsia" w:eastAsiaTheme="minorEastAsia" w:hAnsiTheme="minorEastAsia"/>
                <w:sz w:val="24"/>
                <w:szCs w:val="24"/>
              </w:rPr>
              <w:lastRenderedPageBreak/>
              <w:t>延安大学</w:t>
            </w:r>
          </w:p>
        </w:tc>
        <w:tc>
          <w:tcPr>
            <w:tcW w:w="5012" w:type="dxa"/>
            <w:vAlign w:val="center"/>
          </w:tcPr>
          <w:p w:rsidR="00652E02" w:rsidRDefault="00100C0F">
            <w:pPr>
              <w:spacing w:line="360" w:lineRule="auto"/>
              <w:jc w:val="center"/>
              <w:rPr>
                <w:rFonts w:eastAsia="仿宋_GB2312"/>
                <w:b/>
                <w:sz w:val="24"/>
                <w:szCs w:val="24"/>
              </w:rPr>
            </w:pPr>
            <w:r>
              <w:rPr>
                <w:rFonts w:asciiTheme="minorEastAsia" w:eastAsiaTheme="minorEastAsia" w:hAnsiTheme="minorEastAsia" w:cs="宋体" w:hint="eastAsia"/>
                <w:color w:val="000000"/>
                <w:kern w:val="0"/>
                <w:sz w:val="24"/>
                <w:szCs w:val="24"/>
              </w:rPr>
              <w:t>完成了在冲蚀、腐蚀工质条件下管道失效机理与风险评估方法</w:t>
            </w:r>
            <w:r>
              <w:rPr>
                <w:rFonts w:asciiTheme="minorEastAsia" w:eastAsiaTheme="minorEastAsia" w:hAnsiTheme="minorEastAsia" w:cs="宋体" w:hint="eastAsia"/>
                <w:kern w:val="0"/>
                <w:sz w:val="24"/>
                <w:szCs w:val="24"/>
              </w:rPr>
              <w:t>。</w:t>
            </w:r>
          </w:p>
        </w:tc>
      </w:tr>
      <w:tr w:rsidR="00652E02">
        <w:trPr>
          <w:jc w:val="center"/>
        </w:trPr>
        <w:tc>
          <w:tcPr>
            <w:tcW w:w="3510" w:type="dxa"/>
            <w:vAlign w:val="center"/>
          </w:tcPr>
          <w:p w:rsidR="00652E02" w:rsidRDefault="00100C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慧感</w:t>
            </w:r>
            <w:r w:rsidR="0036019F">
              <w:rPr>
                <w:rFonts w:asciiTheme="minorEastAsia" w:eastAsiaTheme="minorEastAsia" w:hAnsiTheme="minorEastAsia" w:hint="eastAsia"/>
                <w:sz w:val="24"/>
                <w:szCs w:val="24"/>
              </w:rPr>
              <w:t>（上海）</w:t>
            </w:r>
            <w:r>
              <w:rPr>
                <w:rFonts w:asciiTheme="minorEastAsia" w:eastAsiaTheme="minorEastAsia" w:hAnsiTheme="minorEastAsia" w:hint="eastAsia"/>
                <w:sz w:val="24"/>
                <w:szCs w:val="24"/>
              </w:rPr>
              <w:t>物联网科技有限公司</w:t>
            </w:r>
          </w:p>
        </w:tc>
        <w:tc>
          <w:tcPr>
            <w:tcW w:w="5012" w:type="dxa"/>
            <w:vAlign w:val="center"/>
          </w:tcPr>
          <w:p w:rsidR="00652E02" w:rsidRDefault="00100C0F">
            <w:pPr>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完成了管道监测传感设备的系统调试与测试可靠性的实验评估研究及管道智能监检测系统精度与可靠性分析与评估方法。</w:t>
            </w:r>
          </w:p>
        </w:tc>
      </w:tr>
      <w:tr w:rsidR="00652E02">
        <w:trPr>
          <w:jc w:val="center"/>
        </w:trPr>
        <w:tc>
          <w:tcPr>
            <w:tcW w:w="3510" w:type="dxa"/>
            <w:vAlign w:val="center"/>
          </w:tcPr>
          <w:p w:rsidR="00652E02" w:rsidRDefault="00100C0F">
            <w:pPr>
              <w:spacing w:line="360" w:lineRule="auto"/>
              <w:jc w:val="center"/>
              <w:rPr>
                <w:rFonts w:eastAsia="仿宋_GB2312"/>
                <w:b/>
                <w:sz w:val="24"/>
                <w:szCs w:val="24"/>
              </w:rPr>
            </w:pPr>
            <w:r>
              <w:rPr>
                <w:rFonts w:asciiTheme="minorEastAsia" w:eastAsiaTheme="minorEastAsia" w:hAnsiTheme="minorEastAsia" w:hint="eastAsia"/>
                <w:sz w:val="24"/>
                <w:szCs w:val="24"/>
              </w:rPr>
              <w:t>中国石油化工股份有限公司中原油田普光分公司</w:t>
            </w:r>
          </w:p>
        </w:tc>
        <w:tc>
          <w:tcPr>
            <w:tcW w:w="5012" w:type="dxa"/>
            <w:vAlign w:val="center"/>
          </w:tcPr>
          <w:p w:rsidR="00652E02" w:rsidRDefault="00100C0F">
            <w:pPr>
              <w:spacing w:line="360" w:lineRule="auto"/>
              <w:jc w:val="center"/>
              <w:rPr>
                <w:rFonts w:eastAsia="仿宋_GB2312"/>
                <w:b/>
                <w:sz w:val="24"/>
                <w:szCs w:val="24"/>
              </w:rPr>
            </w:pPr>
            <w:r>
              <w:rPr>
                <w:rFonts w:asciiTheme="minorEastAsia" w:eastAsiaTheme="minorEastAsia" w:hAnsiTheme="minorEastAsia" w:cs="宋体"/>
                <w:color w:val="000000"/>
                <w:kern w:val="0"/>
                <w:sz w:val="24"/>
                <w:szCs w:val="24"/>
              </w:rPr>
              <w:t>完成了主要的实践应用</w:t>
            </w:r>
            <w:r>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宋体"/>
                <w:color w:val="000000"/>
                <w:kern w:val="0"/>
                <w:sz w:val="24"/>
                <w:szCs w:val="24"/>
              </w:rPr>
              <w:t>布置了管道和传感器并进行了相关的验证</w:t>
            </w:r>
            <w:r>
              <w:rPr>
                <w:rFonts w:asciiTheme="minorEastAsia" w:eastAsiaTheme="minorEastAsia" w:hAnsiTheme="minorEastAsia" w:cs="宋体" w:hint="eastAsia"/>
                <w:color w:val="000000"/>
                <w:kern w:val="0"/>
                <w:sz w:val="24"/>
                <w:szCs w:val="24"/>
              </w:rPr>
              <w:t>。</w:t>
            </w:r>
          </w:p>
        </w:tc>
      </w:tr>
    </w:tbl>
    <w:p w:rsidR="00652E02" w:rsidRDefault="00100C0F">
      <w:pPr>
        <w:spacing w:line="360" w:lineRule="auto"/>
        <w:rPr>
          <w:rFonts w:eastAsia="仿宋_GB2312"/>
          <w:b/>
        </w:rPr>
      </w:pPr>
      <w:r>
        <w:rPr>
          <w:rFonts w:eastAsia="仿宋_GB2312"/>
          <w:b/>
        </w:rPr>
        <w:t>九、完成人合作关系说明</w:t>
      </w:r>
    </w:p>
    <w:p w:rsidR="00652E02" w:rsidRDefault="00100C0F">
      <w:pPr>
        <w:spacing w:line="360" w:lineRule="auto"/>
        <w:ind w:firstLineChars="200" w:firstLine="560"/>
        <w:rPr>
          <w:color w:val="000000" w:themeColor="text1"/>
          <w:kern w:val="0"/>
        </w:rPr>
      </w:pPr>
      <w:r>
        <w:rPr>
          <w:color w:val="000000" w:themeColor="text1"/>
          <w:kern w:val="0"/>
        </w:rPr>
        <w:t>该项目主要按照吴峰教授</w:t>
      </w:r>
      <w:r>
        <w:rPr>
          <w:rFonts w:hint="eastAsia"/>
          <w:color w:val="000000" w:themeColor="text1"/>
          <w:kern w:val="0"/>
        </w:rPr>
        <w:t>提供的构建了联合</w:t>
      </w:r>
      <w:r>
        <w:rPr>
          <w:rFonts w:hint="eastAsia"/>
          <w:color w:val="000000" w:themeColor="text1"/>
          <w:kern w:val="0"/>
        </w:rPr>
        <w:t xml:space="preserve"> CFD </w:t>
      </w:r>
      <w:r>
        <w:rPr>
          <w:rFonts w:hint="eastAsia"/>
          <w:color w:val="000000" w:themeColor="text1"/>
          <w:kern w:val="0"/>
        </w:rPr>
        <w:t>模拟与人工智能技术的管道快速</w:t>
      </w:r>
      <w:proofErr w:type="gramStart"/>
      <w:r>
        <w:rPr>
          <w:rFonts w:hint="eastAsia"/>
          <w:color w:val="000000" w:themeColor="text1"/>
          <w:kern w:val="0"/>
        </w:rPr>
        <w:t>逆向定漏溯源</w:t>
      </w:r>
      <w:proofErr w:type="gramEnd"/>
      <w:r>
        <w:rPr>
          <w:rFonts w:hint="eastAsia"/>
          <w:color w:val="000000" w:themeColor="text1"/>
          <w:kern w:val="0"/>
        </w:rPr>
        <w:t>的思路方法，闫渊老师和魏利平教授和许留云对部分操作步骤和理论内容的完善，包含管道多参数风险评估的力学分析模型与失效分析准则。完成了系统的物联网平台设计，设计并验证了场站管道与容器泄露成因计算模型与故障分析方法，完成了在冲蚀、腐蚀工质条件下管道失效机理与风险评估方法。</w:t>
      </w:r>
    </w:p>
    <w:p w:rsidR="00652E02" w:rsidRDefault="00100C0F">
      <w:pPr>
        <w:spacing w:line="360" w:lineRule="auto"/>
        <w:ind w:firstLineChars="200" w:firstLine="560"/>
        <w:rPr>
          <w:color w:val="000000" w:themeColor="text1"/>
          <w:kern w:val="0"/>
        </w:rPr>
      </w:pPr>
      <w:r>
        <w:rPr>
          <w:rFonts w:hint="eastAsia"/>
          <w:color w:val="000000" w:themeColor="text1"/>
          <w:kern w:val="0"/>
        </w:rPr>
        <w:t>朱德华，尹琦岭，马志刚，刘永健工程师对该项目完成天然气采气厂</w:t>
      </w:r>
      <w:proofErr w:type="gramStart"/>
      <w:r>
        <w:rPr>
          <w:rFonts w:hint="eastAsia"/>
          <w:color w:val="000000" w:themeColor="text1"/>
          <w:kern w:val="0"/>
        </w:rPr>
        <w:t>的定漏溯源</w:t>
      </w:r>
      <w:proofErr w:type="gramEnd"/>
      <w:r>
        <w:rPr>
          <w:rFonts w:hint="eastAsia"/>
          <w:color w:val="000000" w:themeColor="text1"/>
          <w:kern w:val="0"/>
        </w:rPr>
        <w:t>监测系统实验，完成泄露溯源物联网管理系统的联动测试，完成了管道监测传感设备的系统调试与测试可靠性的实验评估研究，完成了管道智能监检测系统精度与可靠性分析与评估方法。</w:t>
      </w:r>
    </w:p>
    <w:p w:rsidR="00652E02" w:rsidRDefault="00652E02">
      <w:pPr>
        <w:rPr>
          <w:sz w:val="24"/>
          <w:szCs w:val="24"/>
        </w:rPr>
      </w:pPr>
    </w:p>
    <w:sectPr w:rsidR="00652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EwsTQ3tzA3MzU0NbFQ0lEKTi0uzszPAykwrAUA+us14ywAAAA="/>
  </w:docVars>
  <w:rsids>
    <w:rsidRoot w:val="00140B78"/>
    <w:rsid w:val="00003786"/>
    <w:rsid w:val="000074EE"/>
    <w:rsid w:val="00057F12"/>
    <w:rsid w:val="000C20FA"/>
    <w:rsid w:val="000F37D4"/>
    <w:rsid w:val="00100C0F"/>
    <w:rsid w:val="00140B78"/>
    <w:rsid w:val="001726D9"/>
    <w:rsid w:val="001A33E9"/>
    <w:rsid w:val="001A4212"/>
    <w:rsid w:val="00236AC7"/>
    <w:rsid w:val="00285275"/>
    <w:rsid w:val="002C327E"/>
    <w:rsid w:val="00311507"/>
    <w:rsid w:val="00341915"/>
    <w:rsid w:val="00347F7F"/>
    <w:rsid w:val="0036019F"/>
    <w:rsid w:val="003E67C6"/>
    <w:rsid w:val="00461B84"/>
    <w:rsid w:val="00475D06"/>
    <w:rsid w:val="004B1FD2"/>
    <w:rsid w:val="004C0351"/>
    <w:rsid w:val="00627555"/>
    <w:rsid w:val="0063042E"/>
    <w:rsid w:val="00650C51"/>
    <w:rsid w:val="00652E02"/>
    <w:rsid w:val="00680B85"/>
    <w:rsid w:val="006C15EA"/>
    <w:rsid w:val="00761197"/>
    <w:rsid w:val="0078538F"/>
    <w:rsid w:val="007856CE"/>
    <w:rsid w:val="00786E97"/>
    <w:rsid w:val="007E387C"/>
    <w:rsid w:val="007E58F4"/>
    <w:rsid w:val="0085410A"/>
    <w:rsid w:val="0085636F"/>
    <w:rsid w:val="00862AC6"/>
    <w:rsid w:val="008B1B98"/>
    <w:rsid w:val="008B58FF"/>
    <w:rsid w:val="0093243E"/>
    <w:rsid w:val="00937005"/>
    <w:rsid w:val="00997C78"/>
    <w:rsid w:val="009E646A"/>
    <w:rsid w:val="009F13F4"/>
    <w:rsid w:val="00A22770"/>
    <w:rsid w:val="00A57D1C"/>
    <w:rsid w:val="00AA4760"/>
    <w:rsid w:val="00AB14C1"/>
    <w:rsid w:val="00B0424C"/>
    <w:rsid w:val="00B1203D"/>
    <w:rsid w:val="00B27FE0"/>
    <w:rsid w:val="00B6246C"/>
    <w:rsid w:val="00B83372"/>
    <w:rsid w:val="00B858E6"/>
    <w:rsid w:val="00B86767"/>
    <w:rsid w:val="00BB6345"/>
    <w:rsid w:val="00BE42D2"/>
    <w:rsid w:val="00C07739"/>
    <w:rsid w:val="00C14047"/>
    <w:rsid w:val="00C33D58"/>
    <w:rsid w:val="00C40B5F"/>
    <w:rsid w:val="00CF2815"/>
    <w:rsid w:val="00CF76FA"/>
    <w:rsid w:val="00D54E04"/>
    <w:rsid w:val="00D810DB"/>
    <w:rsid w:val="00DE1D10"/>
    <w:rsid w:val="00DE326C"/>
    <w:rsid w:val="00EA63CA"/>
    <w:rsid w:val="00ED6356"/>
    <w:rsid w:val="00EE4C3A"/>
    <w:rsid w:val="00EE7862"/>
    <w:rsid w:val="00EF125F"/>
    <w:rsid w:val="00F01A1D"/>
    <w:rsid w:val="00F26060"/>
    <w:rsid w:val="00F41BD8"/>
    <w:rsid w:val="00F460AA"/>
    <w:rsid w:val="00FA2F64"/>
    <w:rsid w:val="00FB01F0"/>
    <w:rsid w:val="00FB358D"/>
    <w:rsid w:val="00FD7106"/>
    <w:rsid w:val="30EB2FF6"/>
    <w:rsid w:val="50F267AE"/>
    <w:rsid w:val="5708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qFormat/>
    <w:pPr>
      <w:spacing w:line="360" w:lineRule="auto"/>
      <w:ind w:firstLineChars="200" w:firstLine="480"/>
    </w:pPr>
    <w:rPr>
      <w:rFonts w:ascii="仿宋_GB2312"/>
      <w:sz w:val="24"/>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rPr>
      <w:rFonts w:ascii="Times New Roman" w:eastAsia="宋体" w:hAnsi="Times New Roman" w:cs="Times New Roman"/>
      <w:sz w:val="18"/>
      <w:szCs w:val="18"/>
    </w:rPr>
  </w:style>
  <w:style w:type="character" w:customStyle="1" w:styleId="Char">
    <w:name w:val="页脚 Char"/>
    <w:basedOn w:val="a0"/>
    <w:link w:val="a4"/>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qFormat/>
    <w:pPr>
      <w:spacing w:line="360" w:lineRule="auto"/>
      <w:ind w:firstLineChars="200" w:firstLine="480"/>
    </w:pPr>
    <w:rPr>
      <w:rFonts w:ascii="仿宋_GB2312"/>
      <w:sz w:val="24"/>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rPr>
      <w:rFonts w:ascii="Times New Roman" w:eastAsia="宋体" w:hAnsi="Times New Roman" w:cs="Times New Roman"/>
      <w:sz w:val="18"/>
      <w:szCs w:val="18"/>
    </w:rPr>
  </w:style>
  <w:style w:type="character" w:customStyle="1" w:styleId="Char">
    <w:name w:val="页脚 Char"/>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767</Words>
  <Characters>4377</Characters>
  <Application>Microsoft Office Word</Application>
  <DocSecurity>0</DocSecurity>
  <Lines>36</Lines>
  <Paragraphs>10</Paragraphs>
  <ScaleCrop>false</ScaleCrop>
  <Company>Sky123.Org</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李立</dc:creator>
  <cp:lastModifiedBy>李立</cp:lastModifiedBy>
  <cp:revision>17</cp:revision>
  <dcterms:created xsi:type="dcterms:W3CDTF">2021-04-19T03:42:00Z</dcterms:created>
  <dcterms:modified xsi:type="dcterms:W3CDTF">2021-05-08T02:58:00Z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35168F3C2EF742AE9599783A8B4D4047</vt:lpwstr>
  </property>
</Properties>
</file>