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Lines="0" w:beforeAutospacing="0" w:afterLines="0" w:afterAutospacing="0" w:line="600" w:lineRule="exact"/>
        <w:ind w:firstLine="0" w:firstLineChars="0"/>
        <w:jc w:val="both"/>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en-US" w:eastAsia="zh-CN"/>
        </w:rPr>
        <w:t>附件</w:t>
      </w:r>
      <w:r>
        <w:rPr>
          <w:rFonts w:hint="eastAsia" w:ascii="Times New Roman" w:hAnsi="Times New Roman" w:eastAsia="黑体" w:cs="Times New Roman"/>
          <w:sz w:val="32"/>
          <w:szCs w:val="32"/>
          <w:shd w:val="clear" w:color="auto" w:fill="FFFFFF"/>
          <w:lang w:val="en-US" w:eastAsia="zh-CN"/>
        </w:rPr>
        <w:t>3</w:t>
      </w:r>
    </w:p>
    <w:p>
      <w:pPr>
        <w:pStyle w:val="4"/>
        <w:widowControl w:val="0"/>
        <w:spacing w:beforeLines="0" w:beforeAutospacing="0" w:afterLines="0" w:afterAutospacing="0" w:line="600" w:lineRule="exact"/>
        <w:ind w:firstLine="0" w:firstLineChars="0"/>
        <w:jc w:val="center"/>
        <w:rPr>
          <w:rFonts w:hint="default" w:ascii="Times New Roman" w:hAnsi="Times New Roman" w:eastAsia="方正小标宋简体" w:cs="Times New Roman"/>
          <w:sz w:val="44"/>
          <w:szCs w:val="44"/>
          <w:shd w:val="clear" w:color="auto" w:fill="FFFFFF"/>
          <w:lang w:val="en-US" w:eastAsia="zh-CN"/>
        </w:rPr>
      </w:pPr>
      <w:r>
        <w:rPr>
          <w:rFonts w:hint="default" w:ascii="Times New Roman" w:hAnsi="Times New Roman" w:eastAsia="方正小标宋简体" w:cs="Times New Roman"/>
          <w:sz w:val="44"/>
          <w:szCs w:val="44"/>
          <w:shd w:val="clear" w:color="auto" w:fill="FFFFFF"/>
          <w:lang w:val="en-US" w:eastAsia="zh-CN"/>
        </w:rPr>
        <w:t>2024年高校校外教学点设置备案工作安排</w:t>
      </w:r>
    </w:p>
    <w:p>
      <w:pPr>
        <w:pStyle w:val="4"/>
        <w:widowControl w:val="0"/>
        <w:wordWrap/>
        <w:spacing w:beforeLines="0" w:beforeAutospacing="0" w:afterLines="0" w:afterAutospacing="0" w:line="600" w:lineRule="exact"/>
        <w:ind w:firstLine="2640" w:firstLineChars="1100"/>
        <w:jc w:val="both"/>
        <w:rPr>
          <w:rFonts w:hint="default" w:ascii="Times New Roman" w:hAnsi="Times New Roman" w:eastAsia="方正小标宋简体" w:cs="Times New Roman"/>
          <w:sz w:val="24"/>
          <w:szCs w:val="24"/>
          <w:shd w:val="clear" w:color="auto" w:fill="FFFFFF"/>
        </w:rPr>
      </w:pPr>
    </w:p>
    <w:p>
      <w:pPr>
        <w:pStyle w:val="4"/>
        <w:widowControl w:val="0"/>
        <w:numPr>
          <w:ilvl w:val="-1"/>
          <w:numId w:val="0"/>
        </w:numPr>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rPr>
        <w:t>202</w:t>
      </w:r>
      <w:r>
        <w:rPr>
          <w:rFonts w:hint="default"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年</w:t>
      </w:r>
      <w:r>
        <w:rPr>
          <w:rFonts w:hint="default" w:ascii="Times New Roman" w:hAnsi="Times New Roman" w:eastAsia="仿宋_GB2312" w:cs="Times New Roman"/>
          <w:sz w:val="32"/>
          <w:szCs w:val="32"/>
          <w:shd w:val="clear" w:color="auto" w:fill="FFFFFF"/>
          <w:lang w:val="en-US" w:eastAsia="zh-CN"/>
        </w:rPr>
        <w:t>高校校外教学点设置</w:t>
      </w:r>
      <w:r>
        <w:rPr>
          <w:rFonts w:hint="default" w:ascii="Times New Roman" w:hAnsi="Times New Roman" w:eastAsia="仿宋_GB2312" w:cs="Times New Roman"/>
          <w:sz w:val="32"/>
          <w:szCs w:val="32"/>
          <w:shd w:val="clear" w:color="auto" w:fill="FFFFFF"/>
        </w:rPr>
        <w:t>备案统一通过</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全国高等继续教育信息管理系统</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以下简称信息管理系统</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填报。具体程序如下：</w:t>
      </w:r>
    </w:p>
    <w:p>
      <w:pPr>
        <w:pStyle w:val="4"/>
        <w:widowControl w:val="0"/>
        <w:numPr>
          <w:ilvl w:val="-1"/>
          <w:numId w:val="0"/>
        </w:numPr>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shd w:val="clear" w:color="auto" w:fill="FFFFFF"/>
          <w:lang w:val="en-US" w:eastAsia="zh-CN"/>
        </w:rPr>
      </w:pPr>
      <w:r>
        <w:rPr>
          <w:rFonts w:hint="default" w:ascii="Times New Roman" w:hAnsi="Times New Roman" w:eastAsia="黑体" w:cs="Times New Roman"/>
          <w:b w:val="0"/>
          <w:bCs w:val="0"/>
          <w:sz w:val="32"/>
          <w:szCs w:val="32"/>
          <w:shd w:val="clear" w:color="auto" w:fill="FFFFFF"/>
          <w:lang w:val="en-US" w:eastAsia="zh-CN"/>
        </w:rPr>
        <w:t>一、高校填报</w:t>
      </w:r>
    </w:p>
    <w:p>
      <w:pPr>
        <w:pStyle w:val="4"/>
        <w:widowControl w:val="0"/>
        <w:numPr>
          <w:ilvl w:val="-1"/>
          <w:numId w:val="0"/>
        </w:numPr>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高校在对校外教学点充分论证和考察基础上，经学校党（常）委会或校长办公会审议、面向社会公示无异议后，于2024年1月31日前向拟设点单位所在地省级教育行政部门提交新增校外教学点备案材料，并在系统填报有关信息。</w:t>
      </w:r>
    </w:p>
    <w:p>
      <w:pPr>
        <w:pStyle w:val="4"/>
        <w:widowControl w:val="0"/>
        <w:numPr>
          <w:ilvl w:val="-1"/>
          <w:numId w:val="0"/>
        </w:numPr>
        <w:spacing w:beforeLines="0" w:beforeAutospacing="0" w:afterLines="0" w:afterAutospacing="0" w:line="600" w:lineRule="exact"/>
        <w:ind w:firstLine="640" w:firstLineChars="200"/>
        <w:jc w:val="both"/>
        <w:rPr>
          <w:rFonts w:hint="default" w:ascii="Times New Roman" w:hAnsi="Times New Roman" w:eastAsia="仿宋_GB2312" w:cs="Times New Roman"/>
          <w:b w:val="0"/>
          <w:bCs w:val="0"/>
          <w:sz w:val="32"/>
          <w:szCs w:val="32"/>
          <w:highlight w:val="none"/>
          <w:shd w:val="clear" w:color="auto" w:fill="FFFFFF"/>
          <w:lang w:val="en-US" w:eastAsia="zh-CN"/>
        </w:rPr>
      </w:pPr>
      <w:r>
        <w:rPr>
          <w:rFonts w:hint="eastAsia" w:ascii="Times New Roman" w:hAnsi="Times New Roman" w:eastAsia="仿宋_GB2312" w:cs="Times New Roman"/>
          <w:b w:val="0"/>
          <w:bCs w:val="0"/>
          <w:sz w:val="32"/>
          <w:szCs w:val="32"/>
          <w:shd w:val="clear" w:color="auto" w:fill="FFFFFF"/>
          <w:lang w:val="en-US" w:eastAsia="zh-CN"/>
        </w:rPr>
        <w:t>（一）</w:t>
      </w:r>
      <w:r>
        <w:rPr>
          <w:rFonts w:hint="default" w:ascii="Times New Roman" w:hAnsi="Times New Roman" w:eastAsia="仿宋_GB2312" w:cs="Times New Roman"/>
          <w:b w:val="0"/>
          <w:bCs w:val="0"/>
          <w:sz w:val="32"/>
          <w:szCs w:val="32"/>
          <w:shd w:val="clear" w:color="auto" w:fill="FFFFFF"/>
          <w:lang w:val="en-US" w:eastAsia="zh-CN"/>
        </w:rPr>
        <w:t>往年已备案的校外教学点可选择“保留”“停招”或“撤销”。选择“保留”的校外教学点</w:t>
      </w:r>
      <w:r>
        <w:rPr>
          <w:rFonts w:hint="default" w:ascii="Times New Roman" w:hAnsi="Times New Roman" w:eastAsia="仿宋_GB2312" w:cs="Times New Roman"/>
          <w:sz w:val="32"/>
          <w:szCs w:val="32"/>
          <w:shd w:val="clear" w:color="auto" w:fill="FFFFFF"/>
          <w:lang w:val="en-US" w:eastAsia="zh-CN"/>
        </w:rPr>
        <w:t>按本年度实际情况更新备案表有关信息，但设点单位名称、法人、地点、性质等重要信息发生变更的，须按照“新增”校外教学点要求重新备案；往年已备案校外教学点若新开设医学类、艺术类、外语类专业的，须按照“新增”校外教学点进行备案。</w:t>
      </w:r>
      <w:r>
        <w:rPr>
          <w:rFonts w:hint="default" w:ascii="Times New Roman" w:hAnsi="Times New Roman" w:eastAsia="仿宋_GB2312" w:cs="Times New Roman"/>
          <w:b w:val="0"/>
          <w:bCs w:val="0"/>
          <w:sz w:val="32"/>
          <w:szCs w:val="32"/>
          <w:shd w:val="clear" w:color="auto" w:fill="FFFFFF"/>
          <w:lang w:val="en-US" w:eastAsia="zh-CN"/>
        </w:rPr>
        <w:t>选择“停招”的校外教学点须注明原因并登记</w:t>
      </w:r>
      <w:r>
        <w:rPr>
          <w:rFonts w:hint="default" w:ascii="Times New Roman" w:hAnsi="Times New Roman" w:eastAsia="仿宋_GB2312" w:cs="Times New Roman"/>
          <w:b w:val="0"/>
          <w:bCs w:val="0"/>
          <w:sz w:val="32"/>
          <w:szCs w:val="32"/>
          <w:highlight w:val="none"/>
          <w:shd w:val="clear" w:color="auto" w:fill="FFFFFF"/>
          <w:lang w:val="en-US" w:eastAsia="zh-CN"/>
        </w:rPr>
        <w:t>现有在籍生人数。若所有在籍生已培养完毕或由于其他原因需要撤销的校外教学点，可选择“撤销”登记备案，并提交说明材料。</w:t>
      </w:r>
    </w:p>
    <w:p>
      <w:pPr>
        <w:pStyle w:val="4"/>
        <w:widowControl w:val="0"/>
        <w:numPr>
          <w:ilvl w:val="-1"/>
          <w:numId w:val="0"/>
        </w:numPr>
        <w:spacing w:beforeLines="0" w:beforeAutospacing="0" w:afterLines="0" w:afterAutospacing="0" w:line="600" w:lineRule="exact"/>
        <w:ind w:firstLine="640" w:firstLineChars="200"/>
        <w:jc w:val="both"/>
        <w:rPr>
          <w:rFonts w:hint="default" w:ascii="Times New Roman" w:hAnsi="Times New Roman" w:eastAsia="仿宋_GB2312" w:cs="Times New Roman"/>
          <w:b w:val="0"/>
          <w:bCs w:val="0"/>
          <w:sz w:val="32"/>
          <w:szCs w:val="32"/>
          <w:highlight w:val="none"/>
          <w:shd w:val="clear" w:color="auto" w:fill="FFFFFF"/>
          <w:lang w:val="en-US" w:eastAsia="zh-CN"/>
        </w:rPr>
      </w:pPr>
      <w:r>
        <w:rPr>
          <w:rFonts w:hint="default" w:ascii="Times New Roman" w:hAnsi="Times New Roman" w:eastAsia="仿宋_GB2312" w:cs="Times New Roman"/>
          <w:b w:val="0"/>
          <w:bCs w:val="0"/>
          <w:sz w:val="32"/>
          <w:szCs w:val="32"/>
          <w:highlight w:val="none"/>
          <w:shd w:val="clear" w:color="auto" w:fill="FFFFFF"/>
          <w:lang w:val="en-US" w:eastAsia="zh-CN"/>
        </w:rPr>
        <w:t>（</w:t>
      </w:r>
      <w:r>
        <w:rPr>
          <w:rFonts w:hint="eastAsia" w:ascii="Times New Roman" w:hAnsi="Times New Roman" w:eastAsia="仿宋_GB2312" w:cs="Times New Roman"/>
          <w:b w:val="0"/>
          <w:bCs w:val="0"/>
          <w:sz w:val="32"/>
          <w:szCs w:val="32"/>
          <w:highlight w:val="none"/>
          <w:shd w:val="clear" w:color="auto" w:fill="FFFFFF"/>
          <w:lang w:val="en-US" w:eastAsia="zh-CN"/>
        </w:rPr>
        <w:t>二</w:t>
      </w:r>
      <w:r>
        <w:rPr>
          <w:rFonts w:hint="default" w:ascii="Times New Roman" w:hAnsi="Times New Roman" w:eastAsia="仿宋_GB2312" w:cs="Times New Roman"/>
          <w:b w:val="0"/>
          <w:bCs w:val="0"/>
          <w:sz w:val="32"/>
          <w:szCs w:val="32"/>
          <w:highlight w:val="none"/>
          <w:shd w:val="clear" w:color="auto" w:fill="FFFFFF"/>
          <w:lang w:val="en-US" w:eastAsia="zh-CN"/>
        </w:rPr>
        <w:t>）已备案教学点需按照《陕西省教育厅办公室关于开展2023年度高等学历继续教育校外教学点年报年检工作的通知》（陕教高办〔2023〕39 号）要求参加年检</w:t>
      </w:r>
      <w:r>
        <w:rPr>
          <w:rFonts w:hint="eastAsia" w:ascii="Times New Roman" w:hAnsi="Times New Roman" w:eastAsia="仿宋_GB2312" w:cs="Times New Roman"/>
          <w:b w:val="0"/>
          <w:bCs w:val="0"/>
          <w:sz w:val="32"/>
          <w:szCs w:val="32"/>
          <w:highlight w:val="none"/>
          <w:shd w:val="clear" w:color="auto" w:fill="FFFFFF"/>
          <w:lang w:val="en-US" w:eastAsia="zh-CN"/>
        </w:rPr>
        <w:t>。</w:t>
      </w:r>
      <w:r>
        <w:rPr>
          <w:rFonts w:hint="default" w:ascii="Times New Roman" w:hAnsi="Times New Roman" w:eastAsia="仿宋_GB2312" w:cs="Times New Roman"/>
          <w:b w:val="0"/>
          <w:bCs w:val="0"/>
          <w:sz w:val="32"/>
          <w:szCs w:val="32"/>
          <w:highlight w:val="none"/>
          <w:shd w:val="clear" w:color="auto" w:fill="FFFFFF"/>
          <w:lang w:val="en-US" w:eastAsia="zh-CN"/>
        </w:rPr>
        <w:t>校外教学点</w:t>
      </w:r>
      <w:r>
        <w:rPr>
          <w:rFonts w:hint="eastAsia" w:ascii="Times New Roman" w:hAnsi="Times New Roman" w:eastAsia="仿宋_GB2312" w:cs="Times New Roman"/>
          <w:b w:val="0"/>
          <w:bCs w:val="0"/>
          <w:sz w:val="32"/>
          <w:szCs w:val="32"/>
          <w:highlight w:val="none"/>
          <w:shd w:val="clear" w:color="auto" w:fill="FFFFFF"/>
          <w:lang w:val="en-US" w:eastAsia="zh-CN"/>
        </w:rPr>
        <w:t>若选择</w:t>
      </w:r>
      <w:r>
        <w:rPr>
          <w:rFonts w:hint="default" w:ascii="Times New Roman" w:hAnsi="Times New Roman" w:eastAsia="仿宋_GB2312" w:cs="Times New Roman"/>
          <w:b w:val="0"/>
          <w:bCs w:val="0"/>
          <w:sz w:val="32"/>
          <w:szCs w:val="32"/>
          <w:highlight w:val="none"/>
          <w:shd w:val="clear" w:color="auto" w:fill="FFFFFF"/>
          <w:lang w:val="en-US" w:eastAsia="zh-CN"/>
        </w:rPr>
        <w:t>“撤销”</w:t>
      </w:r>
      <w:r>
        <w:rPr>
          <w:rFonts w:hint="eastAsia" w:ascii="Times New Roman" w:hAnsi="Times New Roman" w:eastAsia="仿宋_GB2312" w:cs="Times New Roman"/>
          <w:b w:val="0"/>
          <w:bCs w:val="0"/>
          <w:sz w:val="32"/>
          <w:szCs w:val="32"/>
          <w:highlight w:val="none"/>
          <w:shd w:val="clear" w:color="auto" w:fill="FFFFFF"/>
          <w:lang w:val="en-US" w:eastAsia="zh-CN"/>
        </w:rPr>
        <w:t>，可不参加年检，并同时提交撤销申请。省教育厅将依照年检结论，确定校外教学点2024年度是否可正常招生。</w:t>
      </w:r>
    </w:p>
    <w:p>
      <w:pPr>
        <w:pStyle w:val="4"/>
        <w:widowControl w:val="0"/>
        <w:numPr>
          <w:ilvl w:val="-1"/>
          <w:numId w:val="0"/>
        </w:numPr>
        <w:spacing w:beforeLines="0" w:beforeAutospacing="0" w:afterLines="0" w:afterAutospacing="0" w:line="600" w:lineRule="exact"/>
        <w:ind w:firstLine="640" w:firstLineChars="200"/>
        <w:jc w:val="both"/>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w:t>
      </w:r>
      <w:r>
        <w:rPr>
          <w:rFonts w:hint="eastAsia" w:ascii="Times New Roman" w:hAnsi="Times New Roman" w:eastAsia="仿宋_GB2312" w:cs="Times New Roman"/>
          <w:b w:val="0"/>
          <w:bCs w:val="0"/>
          <w:sz w:val="32"/>
          <w:szCs w:val="32"/>
          <w:shd w:val="clear" w:color="auto" w:fill="FFFFFF"/>
          <w:lang w:val="en-US" w:eastAsia="zh-CN"/>
        </w:rPr>
        <w:t>三</w:t>
      </w:r>
      <w:r>
        <w:rPr>
          <w:rFonts w:hint="default" w:ascii="Times New Roman" w:hAnsi="Times New Roman" w:eastAsia="仿宋_GB2312" w:cs="Times New Roman"/>
          <w:b w:val="0"/>
          <w:bCs w:val="0"/>
          <w:sz w:val="32"/>
          <w:szCs w:val="32"/>
          <w:shd w:val="clear" w:color="auto" w:fill="FFFFFF"/>
          <w:lang w:val="en-US" w:eastAsia="zh-CN"/>
        </w:rPr>
        <w:t>）新设校外教学点须选择“新增”，并按照</w:t>
      </w:r>
      <w:r>
        <w:rPr>
          <w:rFonts w:hint="default" w:ascii="Times New Roman" w:hAnsi="Times New Roman" w:eastAsia="仿宋_GB2312" w:cs="Times New Roman"/>
          <w:sz w:val="32"/>
          <w:szCs w:val="32"/>
          <w:shd w:val="clear" w:color="auto" w:fill="FFFFFF"/>
          <w:lang w:eastAsia="zh-CN"/>
        </w:rPr>
        <w:t>《教育部办公厅关于严格规范高等学历继续教育校外教学点设置与管理工作的通知》</w:t>
      </w:r>
      <w:r>
        <w:rPr>
          <w:rFonts w:hint="default" w:ascii="Times New Roman" w:hAnsi="Times New Roman" w:eastAsia="仿宋_GB2312" w:cs="Times New Roman"/>
          <w:sz w:val="32"/>
          <w:szCs w:val="32"/>
          <w:shd w:val="clear" w:color="auto" w:fill="FFFFFF"/>
          <w:lang w:val="en-US" w:eastAsia="zh-CN"/>
        </w:rPr>
        <w:t>要求进行备案。</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shd w:val="clear" w:color="auto" w:fill="FFFFFF"/>
          <w:lang w:val="en-US" w:eastAsia="zh-CN"/>
        </w:rPr>
      </w:pPr>
      <w:r>
        <w:rPr>
          <w:rFonts w:hint="default" w:ascii="Times New Roman" w:hAnsi="Times New Roman" w:eastAsia="黑体" w:cs="Times New Roman"/>
          <w:b w:val="0"/>
          <w:bCs w:val="0"/>
          <w:sz w:val="32"/>
          <w:szCs w:val="32"/>
          <w:shd w:val="clear" w:color="auto" w:fill="FFFFFF"/>
          <w:lang w:val="en-US" w:eastAsia="zh-CN"/>
        </w:rPr>
        <w:t>二、省级评议</w:t>
      </w:r>
    </w:p>
    <w:p>
      <w:pPr>
        <w:pStyle w:val="4"/>
        <w:widowControl w:val="0"/>
        <w:numPr>
          <w:ilvl w:val="0"/>
          <w:numId w:val="0"/>
        </w:numPr>
        <w:spacing w:beforeLines="0" w:beforeAutospacing="0" w:afterLines="0" w:afterAutospacing="0" w:line="600" w:lineRule="exact"/>
        <w:ind w:firstLine="640" w:firstLineChars="200"/>
        <w:jc w:val="both"/>
        <w:rPr>
          <w:rFonts w:hint="default" w:ascii="Times New Roman" w:hAnsi="Times New Roman" w:eastAsia="仿宋" w:cs="Times New Roman"/>
          <w:bCs w:val="0"/>
          <w:sz w:val="32"/>
          <w:szCs w:val="32"/>
          <w:shd w:val="clear" w:color="auto" w:fill="FFFFFF"/>
          <w:lang w:eastAsia="zh-Hans"/>
        </w:rPr>
      </w:pPr>
      <w:r>
        <w:rPr>
          <w:rFonts w:hint="default" w:ascii="Times New Roman" w:hAnsi="Times New Roman" w:eastAsia="仿宋_GB2312" w:cs="Times New Roman"/>
          <w:b w:val="0"/>
          <w:bCs w:val="0"/>
          <w:sz w:val="32"/>
          <w:szCs w:val="32"/>
          <w:shd w:val="clear" w:color="auto" w:fill="FFFFFF"/>
          <w:lang w:val="en-US" w:eastAsia="zh-CN"/>
        </w:rPr>
        <w:t>省教育厅将在形式审查基础上，对主办高校系统提交的材料进行集中审核，对本省高校拟跨省设置的校外教学点、符合我省在陕校外教学点申报条件的单位开展集中评议，对不符合相关规定的校外教学点不予设置与备案。评议结果经公示后，将作为我省2024年度省属高校高等学历继续教育校外教学点备案和登记结果提交教育部审核。同时，提交部属高校的教学点备案与设置建议。</w:t>
      </w:r>
      <w:r>
        <w:rPr>
          <w:rFonts w:hint="default" w:ascii="Times New Roman" w:hAnsi="Times New Roman" w:eastAsia="仿宋_GB2312" w:cs="Times New Roman"/>
          <w:sz w:val="32"/>
          <w:szCs w:val="32"/>
          <w:shd w:val="clear" w:color="auto" w:fill="FFFFFF"/>
          <w:lang w:val="en-US" w:eastAsia="zh-CN"/>
        </w:rPr>
        <w:t>教育部备案工作完成后，可以通过信息管理系统查询。</w:t>
      </w:r>
    </w:p>
    <w:p>
      <w:pPr>
        <w:pStyle w:val="4"/>
        <w:widowControl w:val="0"/>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shd w:val="clear" w:color="auto" w:fill="FFFFFF"/>
          <w:lang w:val="en-US" w:eastAsia="zh-CN"/>
        </w:rPr>
      </w:pPr>
      <w:r>
        <w:rPr>
          <w:rFonts w:hint="default" w:ascii="Times New Roman" w:hAnsi="Times New Roman" w:eastAsia="黑体" w:cs="Times New Roman"/>
          <w:b w:val="0"/>
          <w:bCs w:val="0"/>
          <w:sz w:val="32"/>
          <w:szCs w:val="32"/>
          <w:shd w:val="clear" w:color="auto" w:fill="FFFFFF"/>
          <w:lang w:val="en-US" w:eastAsia="zh-CN"/>
        </w:rPr>
        <w:t>三、材料报送</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拟新增设的校外教学点</w:t>
      </w:r>
      <w:r>
        <w:rPr>
          <w:rFonts w:hint="eastAsia" w:ascii="Times New Roman" w:hAnsi="Times New Roman" w:eastAsia="仿宋_GB2312" w:cs="Times New Roman"/>
          <w:sz w:val="32"/>
          <w:szCs w:val="32"/>
          <w:highlight w:val="none"/>
          <w:lang w:val="en-US" w:eastAsia="zh-CN"/>
        </w:rPr>
        <w:t>的高校，</w:t>
      </w:r>
      <w:r>
        <w:rPr>
          <w:rFonts w:hint="default" w:ascii="Times New Roman" w:hAnsi="Times New Roman" w:eastAsia="仿宋_GB2312" w:cs="Times New Roman"/>
          <w:sz w:val="32"/>
          <w:szCs w:val="32"/>
          <w:highlight w:val="none"/>
          <w:lang w:eastAsia="zh-CN"/>
        </w:rPr>
        <w:t>请</w:t>
      </w:r>
      <w:r>
        <w:rPr>
          <w:rFonts w:hint="eastAsia" w:ascii="Times New Roman" w:hAnsi="Times New Roman" w:eastAsia="仿宋_GB2312" w:cs="Times New Roman"/>
          <w:sz w:val="32"/>
          <w:szCs w:val="32"/>
          <w:highlight w:val="none"/>
          <w:lang w:val="en-US" w:eastAsia="zh-CN"/>
        </w:rPr>
        <w:t>以校级正式文件形式</w:t>
      </w:r>
      <w:r>
        <w:rPr>
          <w:rFonts w:hint="default" w:ascii="Times New Roman" w:hAnsi="Times New Roman" w:eastAsia="仿宋_GB2312" w:cs="Times New Roman"/>
          <w:sz w:val="32"/>
          <w:szCs w:val="32"/>
          <w:highlight w:val="none"/>
          <w:lang w:eastAsia="zh-CN"/>
        </w:rPr>
        <w:t>提交以下材料：</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《高等学历继续教育校外教学点备案材料自评要点》（附件</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请各主办高校逐条对照《</w:t>
      </w:r>
      <w:r>
        <w:rPr>
          <w:rFonts w:hint="default" w:ascii="Times New Roman" w:hAnsi="Times New Roman" w:eastAsia="仿宋_GB2312" w:cs="Times New Roman"/>
          <w:sz w:val="32"/>
          <w:szCs w:val="32"/>
          <w:highlight w:val="none"/>
        </w:rPr>
        <w:t>自评</w:t>
      </w:r>
      <w:r>
        <w:rPr>
          <w:rFonts w:hint="default" w:ascii="Times New Roman" w:hAnsi="Times New Roman" w:eastAsia="仿宋_GB2312" w:cs="Times New Roman"/>
          <w:sz w:val="32"/>
          <w:szCs w:val="32"/>
          <w:highlight w:val="none"/>
          <w:lang w:val="en-US" w:eastAsia="zh-CN"/>
        </w:rPr>
        <w:t>要点》，核查系统填报及线下提交的</w:t>
      </w:r>
      <w:r>
        <w:rPr>
          <w:rFonts w:hint="default" w:ascii="Times New Roman" w:hAnsi="Times New Roman" w:eastAsia="仿宋_GB2312" w:cs="Times New Roman"/>
          <w:sz w:val="32"/>
          <w:szCs w:val="32"/>
          <w:highlight w:val="none"/>
        </w:rPr>
        <w:t>备案材料</w:t>
      </w:r>
      <w:r>
        <w:rPr>
          <w:rFonts w:hint="default" w:ascii="Times New Roman" w:hAnsi="Times New Roman" w:eastAsia="仿宋_GB2312" w:cs="Times New Roman"/>
          <w:sz w:val="32"/>
          <w:szCs w:val="32"/>
          <w:highlight w:val="none"/>
          <w:lang w:val="en-US" w:eastAsia="zh-CN"/>
        </w:rPr>
        <w:t>是否符合要求</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《高等学历继续教育校外教学点备案表》（</w:t>
      </w:r>
      <w:r>
        <w:rPr>
          <w:rFonts w:hint="eastAsia" w:ascii="Times New Roman" w:hAnsi="Times New Roman" w:eastAsia="仿宋_GB2312" w:cs="Times New Roman"/>
          <w:sz w:val="32"/>
          <w:szCs w:val="32"/>
          <w:highlight w:val="none"/>
          <w:lang w:val="en-US" w:eastAsia="zh-CN"/>
        </w:rPr>
        <w:t>系统导出</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设置校外教学点及开设相应专业的必要性、可行性论证材料；</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学</w:t>
      </w:r>
      <w:r>
        <w:rPr>
          <w:rFonts w:hint="default" w:ascii="Times New Roman" w:hAnsi="Times New Roman" w:eastAsia="仿宋_GB2312" w:cs="Times New Roman"/>
          <w:sz w:val="32"/>
          <w:szCs w:val="32"/>
          <w:highlight w:val="none"/>
        </w:rPr>
        <w:t>校党（常）委会或校长办公会会议纪要；</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公示及问题处理相关材料；</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拟设点单位法人证书副本复印件，</w:t>
      </w:r>
      <w:r>
        <w:rPr>
          <w:rFonts w:hint="default" w:ascii="Times New Roman" w:hAnsi="Times New Roman" w:eastAsia="仿宋_GB2312" w:cs="Times New Roman"/>
          <w:sz w:val="32"/>
          <w:szCs w:val="32"/>
          <w:highlight w:val="none"/>
          <w:lang w:val="en-US" w:eastAsia="zh-CN"/>
        </w:rPr>
        <w:t>如为</w:t>
      </w:r>
      <w:r>
        <w:rPr>
          <w:rFonts w:hint="default" w:ascii="Times New Roman" w:hAnsi="Times New Roman" w:eastAsia="仿宋_GB2312" w:cs="Times New Roman"/>
          <w:sz w:val="32"/>
          <w:szCs w:val="32"/>
          <w:highlight w:val="none"/>
        </w:rPr>
        <w:t>国有大中型企业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需提供</w:t>
      </w:r>
      <w:r>
        <w:rPr>
          <w:rFonts w:hint="default" w:ascii="Times New Roman" w:hAnsi="Times New Roman" w:eastAsia="仿宋_GB2312" w:cs="Times New Roman"/>
          <w:sz w:val="32"/>
          <w:szCs w:val="32"/>
          <w:highlight w:val="none"/>
        </w:rPr>
        <w:t>符合《统计上大中小微型企业划分办法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2017）</w:t>
      </w:r>
      <w:r>
        <w:rPr>
          <w:rFonts w:hint="default" w:ascii="Times New Roman" w:hAnsi="Times New Roman" w:eastAsia="仿宋_GB2312" w:cs="Times New Roman"/>
          <w:sz w:val="32"/>
          <w:szCs w:val="32"/>
          <w:highlight w:val="none"/>
        </w:rPr>
        <w:t>》（国统字〔2017〕213号）规定</w:t>
      </w:r>
      <w:r>
        <w:rPr>
          <w:rFonts w:hint="default" w:ascii="Times New Roman" w:hAnsi="Times New Roman" w:eastAsia="仿宋_GB2312" w:cs="Times New Roman"/>
          <w:sz w:val="32"/>
          <w:szCs w:val="32"/>
          <w:highlight w:val="none"/>
          <w:lang w:val="en-US" w:eastAsia="zh-CN"/>
        </w:rPr>
        <w:t>的证明材料</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拟设点单位承诺书；</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高校与设点单位签署的设点协议；</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拟设校外教学点的管理方案和办学风险应急预案；</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高校跨省设置</w:t>
      </w:r>
      <w:r>
        <w:rPr>
          <w:rFonts w:hint="default" w:ascii="Times New Roman" w:hAnsi="Times New Roman" w:eastAsia="仿宋_GB2312" w:cs="Times New Roman"/>
          <w:sz w:val="32"/>
          <w:szCs w:val="32"/>
          <w:highlight w:val="none"/>
          <w:lang w:val="en-US" w:eastAsia="zh-CN"/>
        </w:rPr>
        <w:t>教学点</w:t>
      </w:r>
      <w:r>
        <w:rPr>
          <w:rFonts w:hint="default" w:ascii="Times New Roman" w:hAnsi="Times New Roman" w:eastAsia="仿宋_GB2312" w:cs="Times New Roman"/>
          <w:sz w:val="32"/>
          <w:szCs w:val="32"/>
          <w:highlight w:val="none"/>
        </w:rPr>
        <w:t>须提交承接对口帮扶、行业紧缺人才培养任务的委托函等或列入“双一流”建设的证明材料</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11.陕西省高等学历继续教育校外教学点备案汇总表（附件11）</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其他必要的材料等。</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（二）在陕设置校外教学点的主办高校，</w:t>
      </w:r>
      <w:r>
        <w:rPr>
          <w:rFonts w:hint="default" w:ascii="Times New Roman" w:hAnsi="Times New Roman" w:eastAsia="仿宋_GB2312" w:cs="Times New Roman"/>
          <w:sz w:val="32"/>
          <w:szCs w:val="32"/>
          <w:highlight w:val="none"/>
          <w:lang w:eastAsia="zh-CN"/>
        </w:rPr>
        <w:t>请</w:t>
      </w:r>
      <w:r>
        <w:rPr>
          <w:rFonts w:hint="eastAsia" w:ascii="Times New Roman" w:hAnsi="Times New Roman" w:eastAsia="仿宋_GB2312" w:cs="Times New Roman"/>
          <w:sz w:val="32"/>
          <w:szCs w:val="32"/>
          <w:highlight w:val="none"/>
          <w:lang w:val="en-US" w:eastAsia="zh-CN"/>
        </w:rPr>
        <w:t>以校级正式文件形式</w:t>
      </w:r>
      <w:r>
        <w:rPr>
          <w:rFonts w:hint="default" w:ascii="Times New Roman" w:hAnsi="Times New Roman" w:eastAsia="仿宋_GB2312" w:cs="Times New Roman"/>
          <w:sz w:val="32"/>
          <w:szCs w:val="32"/>
          <w:highlight w:val="none"/>
          <w:lang w:eastAsia="zh-CN"/>
        </w:rPr>
        <w:t>提交以下材料：</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1.陕西省高等学历继续教育校外教学点备案汇总表（附件10）</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2.2024年××高校校外教学点设置与管理工作报告（附件11</w:t>
      </w:r>
      <w:bookmarkStart w:id="0" w:name="_GoBack"/>
      <w:bookmarkEnd w:id="0"/>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以上材料发至nwufec@nwu.edu.cn，邮件名称请以学校全称命名，逾期不予受理。</w:t>
      </w:r>
    </w:p>
    <w:sectPr>
      <w:footerReference r:id="rId3" w:type="default"/>
      <w:pgSz w:w="11906" w:h="16838"/>
      <w:pgMar w:top="2154"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jQyMjBmNzRkMjM4ZmE5Njc3ZmFlNzUzYjM4NGMifQ=="/>
  </w:docVars>
  <w:rsids>
    <w:rsidRoot w:val="1E5F1E73"/>
    <w:rsid w:val="00311602"/>
    <w:rsid w:val="130304EA"/>
    <w:rsid w:val="1E5F1E73"/>
    <w:rsid w:val="27D7523C"/>
    <w:rsid w:val="5FE74CD4"/>
    <w:rsid w:val="64FE4FB7"/>
    <w:rsid w:val="76FF5FA3"/>
    <w:rsid w:val="7BDF42BC"/>
    <w:rsid w:val="7EFFA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2023-12-28T02:41:00Z</dcterms:created>
  <dc:creator>宇宙牌橡皮擦</dc:creator>
  <cp:lastModifiedBy>ht706</cp:lastModifiedBy>
  <dcterms:modified xsi:type="dcterms:W3CDTF">2024-01-05T11:19:04Z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35BF707BF5EE403487D33C641109F576_11</vt:lpwstr>
  </property>
</Properties>
</file>