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B8" w:rsidRDefault="005122B8" w:rsidP="005122B8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5122B8" w:rsidRDefault="005122B8" w:rsidP="005122B8">
      <w:pPr>
        <w:rPr>
          <w:rFonts w:ascii="黑体" w:eastAsia="黑体" w:hAnsi="黑体" w:cs="黑体" w:hint="eastAsia"/>
        </w:rPr>
      </w:pPr>
    </w:p>
    <w:p w:rsidR="005122B8" w:rsidRDefault="005122B8" w:rsidP="005122B8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陕西职业技术学院章程</w:t>
      </w:r>
    </w:p>
    <w:p w:rsidR="005122B8" w:rsidRDefault="005122B8" w:rsidP="005122B8">
      <w:pPr>
        <w:adjustRightInd w:val="0"/>
        <w:snapToGrid w:val="0"/>
        <w:spacing w:line="288" w:lineRule="auto"/>
        <w:jc w:val="center"/>
        <w:rPr>
          <w:rFonts w:ascii="楷体_GB2312" w:eastAsia="楷体_GB2312" w:hAnsi="楷体_GB2312" w:cs="楷体_GB2312" w:hint="eastAsia"/>
          <w:b/>
          <w:bCs/>
          <w:spacing w:val="-6"/>
        </w:rPr>
      </w:pPr>
      <w:r>
        <w:rPr>
          <w:rFonts w:ascii="楷体_GB2312" w:eastAsia="楷体_GB2312" w:hAnsi="楷体_GB2312" w:cs="楷体_GB2312" w:hint="eastAsia"/>
          <w:b/>
          <w:bCs/>
          <w:spacing w:val="-6"/>
        </w:rPr>
        <w:t>（修订核准稿）</w:t>
      </w:r>
    </w:p>
    <w:p w:rsidR="005122B8" w:rsidRDefault="005122B8" w:rsidP="005122B8">
      <w:pPr>
        <w:adjustRightInd w:val="0"/>
        <w:snapToGrid w:val="0"/>
        <w:spacing w:line="339" w:lineRule="auto"/>
        <w:rPr>
          <w:snapToGrid w:val="0"/>
          <w:spacing w:val="0"/>
          <w:kern w:val="0"/>
        </w:rPr>
      </w:pP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一、将第二条修订为：学院名称为陕西职业技术学院，简称陕西职院。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学院英文名称为</w:t>
      </w:r>
      <w:r>
        <w:rPr>
          <w:snapToGrid w:val="0"/>
          <w:color w:val="000000"/>
          <w:spacing w:val="0"/>
          <w:kern w:val="0"/>
        </w:rPr>
        <w:t>Shaanxi Vocational &amp; Technical College</w:t>
      </w:r>
      <w:r>
        <w:rPr>
          <w:snapToGrid w:val="0"/>
          <w:color w:val="000000"/>
          <w:spacing w:val="0"/>
          <w:kern w:val="0"/>
        </w:rPr>
        <w:t>，英文名称缩写为：</w:t>
      </w:r>
      <w:r>
        <w:rPr>
          <w:snapToGrid w:val="0"/>
          <w:color w:val="000000"/>
          <w:spacing w:val="0"/>
          <w:kern w:val="0"/>
        </w:rPr>
        <w:t>SVTC</w:t>
      </w:r>
      <w:r>
        <w:rPr>
          <w:snapToGrid w:val="0"/>
          <w:color w:val="000000"/>
          <w:spacing w:val="0"/>
          <w:kern w:val="0"/>
        </w:rPr>
        <w:t>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学院注册地址为西安市长安区樊川路</w:t>
      </w:r>
      <w:r>
        <w:rPr>
          <w:snapToGrid w:val="0"/>
          <w:color w:val="000000"/>
          <w:spacing w:val="0"/>
          <w:kern w:val="0"/>
        </w:rPr>
        <w:t>3369</w:t>
      </w:r>
      <w:r>
        <w:rPr>
          <w:snapToGrid w:val="0"/>
          <w:color w:val="000000"/>
          <w:spacing w:val="0"/>
          <w:kern w:val="0"/>
        </w:rPr>
        <w:t>号。学院网址为：</w:t>
      </w:r>
      <w:r>
        <w:rPr>
          <w:snapToGrid w:val="0"/>
          <w:color w:val="000000"/>
          <w:spacing w:val="0"/>
          <w:kern w:val="0"/>
        </w:rPr>
        <w:t>http://www.spvec.com.cn</w:t>
      </w:r>
      <w:r>
        <w:rPr>
          <w:snapToGrid w:val="0"/>
          <w:color w:val="000000"/>
          <w:spacing w:val="0"/>
          <w:kern w:val="0"/>
        </w:rPr>
        <w:t>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二、增加一条，作为第三十二条：学院逐步实行后勤保障社会化，设立相应的机构，为办学活动提供后勤服务与保障。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三、将第三十三条改为第三十四条，修订为：以全日制普通高等职业教育为主，积极开展多种形式的非学历教育和职业技能鉴定与培训，积极争取适时举办职业本科类型教育。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四、将第六十条修订为：学员是指按照规定在学院学习，</w:t>
      </w:r>
      <w:r>
        <w:rPr>
          <w:snapToGrid w:val="0"/>
          <w:color w:val="000000"/>
          <w:spacing w:val="0"/>
          <w:kern w:val="0"/>
        </w:rPr>
        <w:lastRenderedPageBreak/>
        <w:t>没有学籍的接受非学历教育的受教育者。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学员入学应当与学院签订教育服务协议。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学员按照国家和学院的有关规定或者教育服务协议的约定，享有相应的权利和履行相应的义务。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学院按照有关规定发给学员相应的培训证书或学习证明。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五、将第六十一条修订为：学院依据法律法规和学院管理制度，按规定的程序给予违纪学生、学员纪律处分，学生可按规定程序提出申诉。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六、将第六十四条修订为：学院的资产实行国家统一所有，政府分级管理，单位占有使用的管理体制。学院资产指占有或使用的能以货币计量的经济资源。其表现形式为流动资产、固定资产、在建工程、无形资产和对外投资等。学院建立资产管理制度，合理有效管理和使用资产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七、将第六十五条修订为：学院依法实行</w:t>
      </w:r>
      <w:r>
        <w:rPr>
          <w:snapToGrid w:val="0"/>
          <w:color w:val="000000"/>
          <w:spacing w:val="0"/>
          <w:kern w:val="0"/>
        </w:rPr>
        <w:t>“</w:t>
      </w:r>
      <w:r>
        <w:rPr>
          <w:snapToGrid w:val="0"/>
          <w:color w:val="000000"/>
          <w:spacing w:val="0"/>
          <w:kern w:val="0"/>
        </w:rPr>
        <w:t>统一领导，集中管理</w:t>
      </w:r>
      <w:r>
        <w:rPr>
          <w:snapToGrid w:val="0"/>
          <w:color w:val="000000"/>
          <w:spacing w:val="0"/>
          <w:kern w:val="0"/>
        </w:rPr>
        <w:t>”</w:t>
      </w:r>
      <w:r>
        <w:rPr>
          <w:snapToGrid w:val="0"/>
          <w:color w:val="000000"/>
          <w:spacing w:val="0"/>
          <w:kern w:val="0"/>
        </w:rPr>
        <w:t>的财务管理体制，建立财经委员会制度，信息依法公开，依法接受政府有关部门监督检查。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财务管理实行分级经济责任制度，分类指导，民主监督。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lastRenderedPageBreak/>
        <w:t>八、将第六十六条修订为：学院按照国家和地方高等院校财务制度规定，管理学院的财务、资产。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color w:val="000000"/>
          <w:spacing w:val="0"/>
          <w:kern w:val="0"/>
        </w:rPr>
      </w:pPr>
      <w:r>
        <w:rPr>
          <w:snapToGrid w:val="0"/>
          <w:color w:val="000000"/>
          <w:spacing w:val="0"/>
          <w:kern w:val="0"/>
        </w:rPr>
        <w:t>九、删除第六十九条。</w:t>
      </w:r>
    </w:p>
    <w:p w:rsidR="005122B8" w:rsidRDefault="005122B8" w:rsidP="005122B8">
      <w:pPr>
        <w:adjustRightInd w:val="0"/>
        <w:snapToGrid w:val="0"/>
        <w:spacing w:line="339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此外，对章节、条文的序号作相应调整。</w:t>
      </w:r>
    </w:p>
    <w:p w:rsidR="00132F82" w:rsidRDefault="00132F82"/>
    <w:sectPr w:rsidR="00132F82" w:rsidSect="0013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2B8"/>
    <w:rsid w:val="00132F82"/>
    <w:rsid w:val="0051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B8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2022-11-11T07:58:00Z</dcterms:created>
  <dcterms:modified xsi:type="dcterms:W3CDTF">2022-11-11T07:58:00Z</dcterms:modified>
</cp:coreProperties>
</file>