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BD" w:rsidRDefault="00C311BD" w:rsidP="00C311BD">
      <w:pPr>
        <w:widowControl w:val="0"/>
        <w:adjustRightInd w:val="0"/>
        <w:snapToGrid w:val="0"/>
        <w:spacing w:after="0" w:line="338" w:lineRule="auto"/>
        <w:jc w:val="both"/>
        <w:textAlignment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C311BD" w:rsidRDefault="00C311BD" w:rsidP="00C311BD">
      <w:pPr>
        <w:widowControl w:val="0"/>
        <w:adjustRightInd w:val="0"/>
        <w:snapToGrid w:val="0"/>
        <w:spacing w:after="0" w:line="338" w:lineRule="auto"/>
        <w:jc w:val="center"/>
        <w:textAlignment w:val="center"/>
        <w:rPr>
          <w:rFonts w:ascii="Times New Roman" w:eastAsia="方正小标宋简体" w:hAnsi="Times New Roman" w:cs="黑体"/>
          <w:sz w:val="44"/>
          <w:szCs w:val="44"/>
        </w:rPr>
      </w:pPr>
      <w:r>
        <w:rPr>
          <w:rFonts w:ascii="Times New Roman" w:eastAsia="方正小标宋简体" w:hAnsi="Times New Roman" w:cs="黑体" w:hint="eastAsia"/>
          <w:sz w:val="44"/>
          <w:szCs w:val="44"/>
        </w:rPr>
        <w:t>陕西省智慧教育示范县（区）创建申报表</w:t>
      </w:r>
    </w:p>
    <w:p w:rsidR="00C311BD" w:rsidRDefault="00C311BD" w:rsidP="00C311BD">
      <w:pPr>
        <w:pStyle w:val="NoSpacing1"/>
        <w:adjustRightInd w:val="0"/>
        <w:snapToGrid w:val="0"/>
        <w:spacing w:line="338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t>一、申报县（区）基本信息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9"/>
        <w:gridCol w:w="1774"/>
        <w:gridCol w:w="1680"/>
        <w:gridCol w:w="1794"/>
        <w:gridCol w:w="1363"/>
      </w:tblGrid>
      <w:tr w:rsidR="00C311BD" w:rsidTr="00887A38">
        <w:trPr>
          <w:trHeight w:val="510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县（区）名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称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学校数量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普通初中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所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普通高中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中等职业教育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所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在校生数量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普通初中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普通高中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中等职业教育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教职工数量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普通初中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普通高中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中职教育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</w:tr>
      <w:tr w:rsidR="00C311BD" w:rsidTr="00887A38">
        <w:trPr>
          <w:trHeight w:val="524"/>
          <w:jc w:val="center"/>
        </w:trPr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近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年教育信息化累计投入经费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占教育总投入的百分比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区域内中小学信息化基本情况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学校宽带网络</w:t>
            </w: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接入率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校园无线网络覆盖率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hint="eastAsia"/>
                <w:spacing w:val="-6"/>
                <w:sz w:val="21"/>
                <w:szCs w:val="21"/>
              </w:rPr>
              <w:t>互联网接入带宽大于</w:t>
            </w:r>
            <w:r>
              <w:rPr>
                <w:rFonts w:ascii="Times New Roman" w:hAnsi="Times New Roman"/>
                <w:spacing w:val="-6"/>
                <w:sz w:val="21"/>
                <w:szCs w:val="21"/>
              </w:rPr>
              <w:t>100M</w:t>
            </w:r>
            <w:r>
              <w:rPr>
                <w:rFonts w:ascii="Times New Roman" w:hAnsi="Times New Roman" w:hint="eastAsia"/>
                <w:spacing w:val="-6"/>
                <w:sz w:val="21"/>
                <w:szCs w:val="21"/>
              </w:rPr>
              <w:t>学校数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多媒体教室占比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师机比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生机比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pacing w:val="-14"/>
                <w:sz w:val="21"/>
                <w:szCs w:val="21"/>
              </w:rPr>
            </w:pPr>
            <w:r>
              <w:rPr>
                <w:rFonts w:ascii="Times New Roman" w:hAnsi="Times New Roman" w:hint="eastAsia"/>
                <w:spacing w:val="-14"/>
                <w:sz w:val="21"/>
                <w:szCs w:val="21"/>
              </w:rPr>
              <w:t>设置</w:t>
            </w:r>
            <w:r>
              <w:rPr>
                <w:rFonts w:ascii="Times New Roman" w:hAnsi="Times New Roman"/>
                <w:spacing w:val="-14"/>
                <w:sz w:val="21"/>
                <w:szCs w:val="21"/>
              </w:rPr>
              <w:t>CIO</w:t>
            </w:r>
            <w:r>
              <w:rPr>
                <w:rFonts w:ascii="Times New Roman" w:hAnsi="Times New Roman" w:hint="eastAsia"/>
                <w:spacing w:val="-14"/>
                <w:sz w:val="21"/>
                <w:szCs w:val="21"/>
              </w:rPr>
              <w:t>的学校数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ind w:leftChars="-30" w:left="-66" w:rightChars="-30" w:right="-66"/>
              <w:jc w:val="both"/>
              <w:rPr>
                <w:rFonts w:ascii="Times New Roman" w:hAnsi="Times New Roman"/>
                <w:spacing w:val="-6"/>
                <w:w w:val="97"/>
                <w:sz w:val="21"/>
                <w:szCs w:val="21"/>
              </w:rPr>
            </w:pPr>
            <w:r>
              <w:rPr>
                <w:rFonts w:ascii="Times New Roman" w:hAnsi="Times New Roman" w:hint="eastAsia"/>
                <w:spacing w:val="-6"/>
                <w:w w:val="97"/>
                <w:sz w:val="21"/>
                <w:szCs w:val="21"/>
              </w:rPr>
              <w:t>设置专职网络管理人员学校数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所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pacing w:val="-14"/>
                <w:sz w:val="21"/>
                <w:szCs w:val="21"/>
              </w:rPr>
            </w:pPr>
            <w:r>
              <w:rPr>
                <w:rFonts w:ascii="Times New Roman" w:hAnsi="Times New Roman" w:hint="eastAsia"/>
                <w:spacing w:val="-14"/>
                <w:sz w:val="21"/>
                <w:szCs w:val="21"/>
              </w:rPr>
              <w:t>信息技术教师人数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专职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兼职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市级以上</w:t>
            </w: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优课资源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</w:rPr>
              <w:t>数量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所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教师信息化教学培训覆盖率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校长教育信息化培训覆盖率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</w:tr>
      <w:tr w:rsidR="00C311BD" w:rsidTr="00887A38">
        <w:trPr>
          <w:trHeight w:val="510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教师网络空间开通率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学生网络空间开通率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</w:tr>
      <w:tr w:rsidR="00C311BD" w:rsidTr="00887A38">
        <w:trPr>
          <w:trHeight w:val="1889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近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年区域参与或承担“互联网</w:t>
            </w: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sz w:val="21"/>
                <w:szCs w:val="21"/>
              </w:rPr>
              <w:t>”、大数据、人工智能、智慧城市和教育信息化等相关项目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311BD" w:rsidRDefault="00C311BD" w:rsidP="00C311BD">
      <w:pPr>
        <w:widowControl w:val="0"/>
        <w:adjustRightInd w:val="0"/>
        <w:snapToGrid w:val="0"/>
        <w:spacing w:after="0" w:line="33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注：完全中学、十二年一贯制学校按普通高中统计，九年一贯制学校按普通初中统计。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311BD" w:rsidRDefault="00C311BD" w:rsidP="00C311BD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lastRenderedPageBreak/>
        <w:t>二、负责人和联系人基本信息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0"/>
        <w:gridCol w:w="2589"/>
        <w:gridCol w:w="1518"/>
        <w:gridCol w:w="1422"/>
        <w:gridCol w:w="1841"/>
      </w:tblGrid>
      <w:tr w:rsidR="00C311BD" w:rsidTr="00887A38">
        <w:trPr>
          <w:trHeight w:hRule="exact" w:val="5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负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责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人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职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C311BD" w:rsidTr="00887A38">
        <w:trPr>
          <w:trHeight w:hRule="exact" w:val="5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单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位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C311BD" w:rsidTr="00887A38">
        <w:trPr>
          <w:trHeight w:hRule="exact" w:val="5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电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话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手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机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C311BD" w:rsidTr="00887A38">
        <w:trPr>
          <w:trHeight w:hRule="exact" w:val="5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电子邮箱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C311BD" w:rsidTr="00887A38">
        <w:trPr>
          <w:trHeight w:hRule="exact" w:val="5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址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C311BD" w:rsidTr="00887A38">
        <w:trPr>
          <w:trHeight w:hRule="exact" w:val="5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联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系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人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职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C311BD" w:rsidTr="00887A38">
        <w:trPr>
          <w:trHeight w:hRule="exact" w:val="5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单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位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C311BD" w:rsidTr="00887A38">
        <w:trPr>
          <w:trHeight w:hRule="exact" w:val="5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电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话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手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机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C311BD" w:rsidTr="00887A38">
        <w:trPr>
          <w:trHeight w:hRule="exact" w:val="5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电子邮箱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C311BD" w:rsidTr="00887A38">
        <w:trPr>
          <w:trHeight w:hRule="exact" w:val="5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址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</w:tbl>
    <w:p w:rsidR="00C311BD" w:rsidRDefault="00C311BD" w:rsidP="00C311BD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</w:p>
    <w:p w:rsidR="00C311BD" w:rsidRDefault="00C311BD" w:rsidP="00C311BD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三、申报书摘要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311BD" w:rsidTr="00887A38">
        <w:trPr>
          <w:trHeight w:val="523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（概述申报书主要内容，包括“智慧教育示范县（区）”建设的基础、理念、目标、任务、方案、保障等，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字左右。）</w:t>
            </w: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1BD" w:rsidRDefault="00C311BD" w:rsidP="00C311BD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四、“智慧教育示范县（区）”建设的目标及任务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311BD" w:rsidTr="00887A38">
        <w:trPr>
          <w:trHeight w:val="118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（参照建设的目标和重点，包括学习环境、教学模式、基于大数据的教学评价、信息素养培养等方面的建设目标及任务，</w:t>
            </w: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字左右。）</w:t>
            </w: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1BD" w:rsidRDefault="00C311BD" w:rsidP="00C311BD">
      <w:pPr>
        <w:pStyle w:val="NoSpacing1"/>
        <w:adjustRightInd w:val="0"/>
        <w:snapToGrid w:val="0"/>
        <w:spacing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五、“智慧教育示范县（区）”建设实施方案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311BD" w:rsidTr="00887A38">
        <w:trPr>
          <w:trHeight w:val="1189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（阐述“智慧教育示范县（区）”建设的具体工作安排，包括政策保障、部门合作、工作机制等，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1500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字左右。）</w:t>
            </w:r>
          </w:p>
        </w:tc>
      </w:tr>
    </w:tbl>
    <w:p w:rsidR="00C311BD" w:rsidRDefault="00C311BD" w:rsidP="00C311BD">
      <w:pPr>
        <w:pStyle w:val="NoSpacing1"/>
        <w:adjustRightInd w:val="0"/>
        <w:snapToGrid w:val="0"/>
        <w:spacing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六、“智慧教育示范县（区）”建设的管理机制与进度安排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311BD" w:rsidTr="00887A38">
        <w:trPr>
          <w:trHeight w:val="1160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（内容包括智慧教育示范县（区）的建设周期、实施进度安排、管理机制及评估等，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字左右。）</w:t>
            </w: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C311BD" w:rsidRDefault="00C311BD" w:rsidP="00C311BD">
      <w:pPr>
        <w:pStyle w:val="NoSpacing1"/>
        <w:adjustRightInd w:val="0"/>
        <w:snapToGrid w:val="0"/>
        <w:spacing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七、“智慧教育示范县（区）”的建设及运行保障资金方案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311BD" w:rsidTr="00887A38">
        <w:trPr>
          <w:trHeight w:val="1199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（内容包括区域总投资估算、分年投资计划、资金筹措方案及其落实情况，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字左右。）</w:t>
            </w:r>
          </w:p>
        </w:tc>
      </w:tr>
    </w:tbl>
    <w:p w:rsidR="00C311BD" w:rsidRDefault="00C311BD" w:rsidP="00C311BD">
      <w:pPr>
        <w:pStyle w:val="NoSpacing1"/>
        <w:adjustRightInd w:val="0"/>
        <w:snapToGrid w:val="0"/>
        <w:spacing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八、典型应用案例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311BD" w:rsidTr="00887A38">
        <w:trPr>
          <w:trHeight w:val="1203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D" w:rsidRDefault="00C311BD" w:rsidP="00887A38">
            <w:pPr>
              <w:pStyle w:val="NoSpacing1"/>
              <w:adjustRightInd w:val="0"/>
              <w:snapToGrid w:val="0"/>
              <w:spacing w:line="338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区域内学校在人工智能、智慧学习环境、信息化教学模式和大数据等应用方面的案例；其他创新方面亮点。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)</w:t>
            </w:r>
          </w:p>
        </w:tc>
      </w:tr>
    </w:tbl>
    <w:p w:rsidR="00C311BD" w:rsidRDefault="00C311BD" w:rsidP="00C311BD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九、申报、推荐及审核意见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311BD" w:rsidTr="00887A38">
        <w:trPr>
          <w:trHeight w:val="6072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ind w:left="5250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申报单位意见：</w:t>
            </w: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ind w:left="5250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ind w:left="5250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负责人签字：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单位公章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ind w:left="5250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ind w:left="5250" w:firstLineChars="1600" w:firstLine="3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C311BD" w:rsidTr="00887A38">
        <w:trPr>
          <w:trHeight w:val="5863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ind w:left="5250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市级教育行政部门推荐意见：</w:t>
            </w: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ind w:right="1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负责人签字：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单位公章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311BD" w:rsidRDefault="00C311BD" w:rsidP="00887A38">
            <w:pPr>
              <w:widowControl w:val="0"/>
              <w:adjustRightInd w:val="0"/>
              <w:snapToGrid w:val="0"/>
              <w:spacing w:after="0" w:line="338" w:lineRule="auto"/>
              <w:ind w:left="52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C311BD" w:rsidRDefault="00C311BD" w:rsidP="00887A38">
            <w:pPr>
              <w:widowControl w:val="0"/>
              <w:tabs>
                <w:tab w:val="left" w:pos="6847"/>
              </w:tabs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:rsidR="00C311BD" w:rsidRDefault="00C311BD" w:rsidP="00C311BD">
      <w:pPr>
        <w:widowControl w:val="0"/>
        <w:adjustRightInd w:val="0"/>
        <w:snapToGrid w:val="0"/>
        <w:spacing w:after="0" w:line="338" w:lineRule="auto"/>
        <w:jc w:val="center"/>
        <w:rPr>
          <w:rFonts w:ascii="Times New Roman" w:eastAsia="方正小标宋简体" w:hAnsi="Times New Roman" w:cs="黑体"/>
          <w:sz w:val="44"/>
          <w:szCs w:val="44"/>
        </w:rPr>
        <w:sectPr w:rsidR="00C311BD">
          <w:pgSz w:w="11906" w:h="16838"/>
          <w:pgMar w:top="2098" w:right="1474" w:bottom="1985" w:left="1588" w:header="851" w:footer="1247" w:gutter="0"/>
          <w:cols w:space="720"/>
          <w:docGrid w:linePitch="435" w:charSpace="1"/>
        </w:sectPr>
      </w:pPr>
    </w:p>
    <w:p w:rsidR="00DE0956" w:rsidRDefault="00DE0956"/>
    <w:sectPr w:rsidR="00DE0956" w:rsidSect="00DE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roman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1BD"/>
    <w:rsid w:val="00C311BD"/>
    <w:rsid w:val="00D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BD"/>
    <w:pPr>
      <w:spacing w:after="160" w:line="259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C311BD"/>
    <w:pPr>
      <w:widowControl w:val="0"/>
      <w:jc w:val="both"/>
    </w:pPr>
    <w:rPr>
      <w:rFonts w:ascii="Calibri" w:eastAsia="等线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2022-08-16T04:32:00Z</dcterms:created>
  <dcterms:modified xsi:type="dcterms:W3CDTF">2022-08-16T04:32:00Z</dcterms:modified>
</cp:coreProperties>
</file>