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6B" w:rsidRDefault="001C046B" w:rsidP="001C046B">
      <w:pPr>
        <w:adjustRightInd w:val="0"/>
        <w:snapToGrid w:val="0"/>
        <w:jc w:val="left"/>
        <w:rPr>
          <w:rFonts w:ascii="Times New Roman" w:eastAsia="黑体"/>
          <w:color w:val="000000"/>
        </w:rPr>
      </w:pPr>
      <w:r>
        <w:rPr>
          <w:rFonts w:ascii="黑体" w:eastAsia="黑体" w:hAnsi="黑体"/>
          <w:color w:val="000000"/>
        </w:rPr>
        <w:t>附件</w:t>
      </w:r>
      <w:r>
        <w:rPr>
          <w:rFonts w:ascii="Times New Roman" w:eastAsia="黑体"/>
          <w:color w:val="000000"/>
        </w:rPr>
        <w:t>1</w:t>
      </w:r>
    </w:p>
    <w:p w:rsidR="001C046B" w:rsidRDefault="001C046B" w:rsidP="001C046B">
      <w:pPr>
        <w:adjustRightInd w:val="0"/>
        <w:snapToGrid w:val="0"/>
        <w:jc w:val="left"/>
        <w:rPr>
          <w:rFonts w:ascii="黑体" w:eastAsia="黑体" w:hAnsi="黑体" w:hint="eastAsia"/>
          <w:color w:val="000000"/>
        </w:rPr>
      </w:pPr>
    </w:p>
    <w:p w:rsidR="001C046B" w:rsidRDefault="001C046B" w:rsidP="001C046B">
      <w:pPr>
        <w:adjustRightInd w:val="0"/>
        <w:snapToGrid w:val="0"/>
        <w:spacing w:line="336" w:lineRule="auto"/>
        <w:jc w:val="center"/>
        <w:rPr>
          <w:color w:val="000000"/>
        </w:rPr>
      </w:pPr>
      <w:r>
        <w:rPr>
          <w:rFonts w:eastAsia="方正小标宋简体" w:hint="eastAsia"/>
          <w:color w:val="000000"/>
          <w:kern w:val="36"/>
          <w:sz w:val="44"/>
          <w:szCs w:val="44"/>
        </w:rPr>
        <w:t>陕西</w:t>
      </w:r>
      <w:r>
        <w:rPr>
          <w:rFonts w:eastAsia="方正小标宋简体"/>
          <w:color w:val="000000"/>
          <w:kern w:val="36"/>
          <w:sz w:val="44"/>
          <w:szCs w:val="44"/>
        </w:rPr>
        <w:t>省学士学位授</w:t>
      </w:r>
      <w:r>
        <w:rPr>
          <w:rFonts w:eastAsia="方正小标宋简体" w:hint="eastAsia"/>
          <w:color w:val="000000"/>
          <w:kern w:val="36"/>
          <w:sz w:val="44"/>
          <w:szCs w:val="44"/>
        </w:rPr>
        <w:t>予</w:t>
      </w:r>
      <w:r>
        <w:rPr>
          <w:rFonts w:eastAsia="方正小标宋简体"/>
          <w:color w:val="000000"/>
          <w:kern w:val="36"/>
          <w:sz w:val="44"/>
          <w:szCs w:val="44"/>
        </w:rPr>
        <w:t>单位审核标准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4"/>
        <w:gridCol w:w="1517"/>
        <w:gridCol w:w="6013"/>
      </w:tblGrid>
      <w:tr w:rsidR="001C046B" w:rsidTr="008B1A95">
        <w:trPr>
          <w:trHeight w:val="856"/>
          <w:tblHeader/>
          <w:jc w:val="center"/>
        </w:trPr>
        <w:tc>
          <w:tcPr>
            <w:tcW w:w="1534" w:type="dxa"/>
            <w:vAlign w:val="center"/>
          </w:tcPr>
          <w:p w:rsidR="001C046B" w:rsidRDefault="001C046B" w:rsidP="008B1A95">
            <w:pPr>
              <w:jc w:val="center"/>
              <w:rPr>
                <w:rFonts w:hint="eastAsia"/>
                <w:b/>
                <w:bCs/>
                <w:sz w:val="24"/>
                <w:szCs w:val="24"/>
              </w:rPr>
            </w:pPr>
            <w:r>
              <w:rPr>
                <w:rFonts w:hint="eastAsia"/>
                <w:b/>
                <w:bCs/>
                <w:sz w:val="24"/>
                <w:szCs w:val="24"/>
              </w:rPr>
              <w:t>一级指标</w:t>
            </w:r>
          </w:p>
        </w:tc>
        <w:tc>
          <w:tcPr>
            <w:tcW w:w="1517" w:type="dxa"/>
            <w:vAlign w:val="center"/>
          </w:tcPr>
          <w:p w:rsidR="001C046B" w:rsidRDefault="001C046B" w:rsidP="008B1A95">
            <w:pPr>
              <w:jc w:val="center"/>
              <w:rPr>
                <w:rFonts w:hint="eastAsia"/>
                <w:b/>
                <w:bCs/>
                <w:sz w:val="24"/>
                <w:szCs w:val="24"/>
              </w:rPr>
            </w:pPr>
            <w:r>
              <w:rPr>
                <w:rFonts w:hint="eastAsia"/>
                <w:b/>
                <w:bCs/>
                <w:sz w:val="24"/>
                <w:szCs w:val="24"/>
              </w:rPr>
              <w:t>二级指标</w:t>
            </w:r>
          </w:p>
        </w:tc>
        <w:tc>
          <w:tcPr>
            <w:tcW w:w="6013" w:type="dxa"/>
            <w:vAlign w:val="center"/>
          </w:tcPr>
          <w:p w:rsidR="001C046B" w:rsidRDefault="001C046B" w:rsidP="008B1A95">
            <w:pPr>
              <w:jc w:val="center"/>
              <w:rPr>
                <w:rFonts w:hint="eastAsia"/>
                <w:b/>
                <w:bCs/>
                <w:sz w:val="24"/>
                <w:szCs w:val="24"/>
              </w:rPr>
            </w:pPr>
            <w:r>
              <w:rPr>
                <w:rFonts w:hint="eastAsia"/>
                <w:b/>
                <w:bCs/>
                <w:sz w:val="24"/>
                <w:szCs w:val="24"/>
              </w:rPr>
              <w:t>观测点</w:t>
            </w:r>
          </w:p>
        </w:tc>
      </w:tr>
      <w:tr w:rsidR="001C046B" w:rsidTr="008B1A95">
        <w:trPr>
          <w:cantSplit/>
          <w:trHeight w:val="1036"/>
          <w:jc w:val="center"/>
        </w:trPr>
        <w:tc>
          <w:tcPr>
            <w:tcW w:w="1534" w:type="dxa"/>
            <w:vMerge w:val="restart"/>
            <w:vAlign w:val="center"/>
          </w:tcPr>
          <w:p w:rsidR="001C046B" w:rsidRDefault="001C046B" w:rsidP="008B1A95">
            <w:pPr>
              <w:jc w:val="center"/>
              <w:rPr>
                <w:rFonts w:hint="eastAsia"/>
                <w:sz w:val="24"/>
                <w:szCs w:val="24"/>
              </w:rPr>
            </w:pPr>
            <w:r>
              <w:rPr>
                <w:rFonts w:hint="eastAsia"/>
                <w:sz w:val="24"/>
                <w:szCs w:val="24"/>
              </w:rPr>
              <w:t>办学方向</w:t>
            </w:r>
          </w:p>
        </w:tc>
        <w:tc>
          <w:tcPr>
            <w:tcW w:w="1517" w:type="dxa"/>
            <w:vAlign w:val="center"/>
          </w:tcPr>
          <w:p w:rsidR="001C046B" w:rsidRDefault="001C046B" w:rsidP="008B1A95">
            <w:pPr>
              <w:jc w:val="center"/>
              <w:rPr>
                <w:rFonts w:hint="eastAsia"/>
                <w:sz w:val="24"/>
                <w:szCs w:val="24"/>
              </w:rPr>
            </w:pPr>
            <w:r>
              <w:rPr>
                <w:rFonts w:hint="eastAsia"/>
                <w:sz w:val="24"/>
                <w:szCs w:val="24"/>
              </w:rPr>
              <w:t>学校定位</w:t>
            </w:r>
          </w:p>
        </w:tc>
        <w:tc>
          <w:tcPr>
            <w:tcW w:w="6013" w:type="dxa"/>
            <w:vAlign w:val="center"/>
          </w:tcPr>
          <w:p w:rsidR="001C046B" w:rsidRDefault="001C046B" w:rsidP="008B1A95">
            <w:pPr>
              <w:rPr>
                <w:rFonts w:hint="eastAsia"/>
                <w:sz w:val="24"/>
                <w:szCs w:val="24"/>
              </w:rPr>
            </w:pPr>
            <w:r>
              <w:rPr>
                <w:rFonts w:hint="eastAsia"/>
                <w:sz w:val="24"/>
                <w:szCs w:val="24"/>
              </w:rPr>
              <w:t>学校定位准确，发展规划科学、合理，发展方向明确。</w:t>
            </w:r>
          </w:p>
        </w:tc>
      </w:tr>
      <w:tr w:rsidR="001C046B" w:rsidTr="008B1A95">
        <w:trPr>
          <w:cantSplit/>
          <w:trHeight w:val="1344"/>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办学思路</w:t>
            </w:r>
          </w:p>
        </w:tc>
        <w:tc>
          <w:tcPr>
            <w:tcW w:w="6013" w:type="dxa"/>
            <w:vAlign w:val="center"/>
          </w:tcPr>
          <w:p w:rsidR="001C046B" w:rsidRDefault="001C046B" w:rsidP="008B1A95">
            <w:pPr>
              <w:rPr>
                <w:rFonts w:hint="eastAsia"/>
                <w:sz w:val="24"/>
                <w:szCs w:val="24"/>
              </w:rPr>
            </w:pPr>
            <w:r>
              <w:rPr>
                <w:rFonts w:hint="eastAsia"/>
                <w:sz w:val="24"/>
                <w:szCs w:val="24"/>
              </w:rPr>
              <w:t>坚持中国特色社会主义办学方向，办学思路正确、清晰，以人才培养为中心，具有先进的教育思想观念，质量意识强，党建和思想政治工作落实到位。</w:t>
            </w:r>
          </w:p>
        </w:tc>
      </w:tr>
      <w:tr w:rsidR="001C046B" w:rsidTr="008B1A95">
        <w:trPr>
          <w:cantSplit/>
          <w:trHeight w:val="1078"/>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办学特色</w:t>
            </w:r>
          </w:p>
        </w:tc>
        <w:tc>
          <w:tcPr>
            <w:tcW w:w="6013" w:type="dxa"/>
            <w:vAlign w:val="center"/>
          </w:tcPr>
          <w:p w:rsidR="001C046B" w:rsidRDefault="001C046B" w:rsidP="008B1A95">
            <w:pPr>
              <w:rPr>
                <w:rFonts w:hint="eastAsia"/>
                <w:sz w:val="24"/>
                <w:szCs w:val="24"/>
              </w:rPr>
            </w:pPr>
            <w:r>
              <w:rPr>
                <w:rFonts w:hint="eastAsia"/>
                <w:sz w:val="24"/>
                <w:szCs w:val="24"/>
              </w:rPr>
              <w:t>办学特色明显，有良好的发展趋势，符合经济社会发展需求。</w:t>
            </w:r>
          </w:p>
        </w:tc>
      </w:tr>
      <w:tr w:rsidR="001C046B" w:rsidTr="008B1A95">
        <w:trPr>
          <w:cantSplit/>
          <w:trHeight w:val="1134"/>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专业布局</w:t>
            </w:r>
          </w:p>
        </w:tc>
        <w:tc>
          <w:tcPr>
            <w:tcW w:w="6013" w:type="dxa"/>
            <w:vAlign w:val="center"/>
          </w:tcPr>
          <w:p w:rsidR="001C046B" w:rsidRDefault="001C046B" w:rsidP="008B1A95">
            <w:pPr>
              <w:rPr>
                <w:rFonts w:hint="eastAsia"/>
                <w:sz w:val="24"/>
                <w:szCs w:val="24"/>
              </w:rPr>
            </w:pPr>
            <w:r>
              <w:rPr>
                <w:rFonts w:hint="eastAsia"/>
                <w:sz w:val="24"/>
                <w:szCs w:val="24"/>
              </w:rPr>
              <w:t>专业总体布局与结构合理；专业设置有良好的学科基础，符合社会需要。</w:t>
            </w:r>
          </w:p>
        </w:tc>
      </w:tr>
      <w:tr w:rsidR="001C046B" w:rsidTr="008B1A95">
        <w:trPr>
          <w:cantSplit/>
          <w:trHeight w:val="1316"/>
          <w:jc w:val="center"/>
        </w:trPr>
        <w:tc>
          <w:tcPr>
            <w:tcW w:w="1534" w:type="dxa"/>
            <w:vMerge w:val="restart"/>
            <w:vAlign w:val="center"/>
          </w:tcPr>
          <w:p w:rsidR="001C046B" w:rsidRDefault="001C046B" w:rsidP="008B1A95">
            <w:pPr>
              <w:jc w:val="center"/>
              <w:rPr>
                <w:rFonts w:hint="eastAsia"/>
                <w:sz w:val="24"/>
                <w:szCs w:val="24"/>
              </w:rPr>
            </w:pPr>
            <w:r>
              <w:rPr>
                <w:rFonts w:hint="eastAsia"/>
                <w:sz w:val="24"/>
                <w:szCs w:val="24"/>
              </w:rPr>
              <w:t>师资队伍</w:t>
            </w:r>
          </w:p>
        </w:tc>
        <w:tc>
          <w:tcPr>
            <w:tcW w:w="1517" w:type="dxa"/>
            <w:vAlign w:val="center"/>
          </w:tcPr>
          <w:p w:rsidR="001C046B" w:rsidRDefault="001C046B" w:rsidP="008B1A95">
            <w:pPr>
              <w:jc w:val="center"/>
              <w:rPr>
                <w:rFonts w:hint="eastAsia"/>
                <w:sz w:val="24"/>
                <w:szCs w:val="24"/>
              </w:rPr>
            </w:pPr>
            <w:r>
              <w:rPr>
                <w:rFonts w:hint="eastAsia"/>
                <w:sz w:val="24"/>
                <w:szCs w:val="24"/>
              </w:rPr>
              <w:t>教师规模</w:t>
            </w:r>
          </w:p>
        </w:tc>
        <w:tc>
          <w:tcPr>
            <w:tcW w:w="6013" w:type="dxa"/>
            <w:vAlign w:val="center"/>
          </w:tcPr>
          <w:p w:rsidR="001C046B" w:rsidRDefault="001C046B" w:rsidP="008B1A95">
            <w:pPr>
              <w:rPr>
                <w:rFonts w:hint="eastAsia"/>
                <w:sz w:val="24"/>
                <w:szCs w:val="24"/>
              </w:rPr>
            </w:pPr>
            <w:r>
              <w:rPr>
                <w:rFonts w:hint="eastAsia"/>
                <w:sz w:val="24"/>
                <w:szCs w:val="24"/>
              </w:rPr>
              <w:t>具有较强的教学力量，师德高尚、业务水平较高，近年来未发生严重违反师德师风事件。专任教师数量不低于教育部《普通本科学校设置暂行规定》中有关要求。</w:t>
            </w:r>
          </w:p>
        </w:tc>
      </w:tr>
      <w:tr w:rsidR="001C046B" w:rsidTr="008B1A95">
        <w:trPr>
          <w:cantSplit/>
          <w:trHeight w:val="2085"/>
          <w:jc w:val="center"/>
        </w:trPr>
        <w:tc>
          <w:tcPr>
            <w:tcW w:w="1534" w:type="dxa"/>
            <w:vMerge/>
            <w:vAlign w:val="center"/>
          </w:tcPr>
          <w:p w:rsidR="001C046B" w:rsidRDefault="001C046B" w:rsidP="008B1A95">
            <w:pPr>
              <w:jc w:val="center"/>
              <w:rPr>
                <w:rFonts w:hint="eastAsia"/>
                <w:b/>
                <w:bCs/>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教师结构</w:t>
            </w:r>
          </w:p>
        </w:tc>
        <w:tc>
          <w:tcPr>
            <w:tcW w:w="6013" w:type="dxa"/>
            <w:vAlign w:val="center"/>
          </w:tcPr>
          <w:p w:rsidR="001C046B" w:rsidRDefault="001C046B" w:rsidP="008B1A95">
            <w:pPr>
              <w:rPr>
                <w:rFonts w:hint="eastAsia"/>
                <w:sz w:val="24"/>
                <w:szCs w:val="24"/>
              </w:rPr>
            </w:pPr>
            <w:r>
              <w:rPr>
                <w:rFonts w:hint="eastAsia"/>
                <w:sz w:val="24"/>
                <w:szCs w:val="24"/>
              </w:rPr>
              <w:t>整体结构</w:t>
            </w:r>
            <w:r>
              <w:rPr>
                <w:rFonts w:hint="eastAsia"/>
                <w:sz w:val="24"/>
                <w:szCs w:val="24"/>
              </w:rPr>
              <w:t>(</w:t>
            </w:r>
            <w:r>
              <w:rPr>
                <w:rFonts w:hint="eastAsia"/>
                <w:sz w:val="24"/>
                <w:szCs w:val="24"/>
              </w:rPr>
              <w:t>专业、学术和年龄结构</w:t>
            </w:r>
            <w:r>
              <w:rPr>
                <w:rFonts w:hint="eastAsia"/>
                <w:sz w:val="24"/>
                <w:szCs w:val="24"/>
              </w:rPr>
              <w:t>)</w:t>
            </w:r>
            <w:r>
              <w:rPr>
                <w:rFonts w:hint="eastAsia"/>
                <w:sz w:val="24"/>
                <w:szCs w:val="24"/>
              </w:rPr>
              <w:t>合理，发展趋势良好。生师比、专任教师中具有研究生学位的人员占比、具有博士学位专任教师占比、具有高级专业技术职务的专任教师数、具有正教授职务的专任教师数等指标不低于教育部《普通本科学校设置暂行规定》中有关要求。</w:t>
            </w:r>
          </w:p>
        </w:tc>
      </w:tr>
      <w:tr w:rsidR="001C046B" w:rsidTr="008B1A95">
        <w:trPr>
          <w:cantSplit/>
          <w:trHeight w:val="1427"/>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教师发展</w:t>
            </w:r>
          </w:p>
        </w:tc>
        <w:tc>
          <w:tcPr>
            <w:tcW w:w="6013" w:type="dxa"/>
            <w:vAlign w:val="center"/>
          </w:tcPr>
          <w:p w:rsidR="001C046B" w:rsidRDefault="001C046B" w:rsidP="008B1A95">
            <w:pPr>
              <w:rPr>
                <w:rFonts w:hint="eastAsia"/>
                <w:sz w:val="24"/>
                <w:szCs w:val="24"/>
              </w:rPr>
            </w:pPr>
            <w:r>
              <w:rPr>
                <w:rFonts w:hint="eastAsia"/>
                <w:sz w:val="24"/>
                <w:szCs w:val="24"/>
              </w:rPr>
              <w:t>有完善的师资培养机构和制度，为教师开展访学及学术交流、提升教学水平等工作提供必要的支持。</w:t>
            </w:r>
          </w:p>
        </w:tc>
      </w:tr>
      <w:tr w:rsidR="001C046B" w:rsidTr="008B1A95">
        <w:trPr>
          <w:cantSplit/>
          <w:trHeight w:val="1079"/>
          <w:jc w:val="center"/>
        </w:trPr>
        <w:tc>
          <w:tcPr>
            <w:tcW w:w="1534" w:type="dxa"/>
            <w:vMerge w:val="restart"/>
            <w:vAlign w:val="center"/>
          </w:tcPr>
          <w:p w:rsidR="001C046B" w:rsidRDefault="001C046B" w:rsidP="008B1A95">
            <w:pPr>
              <w:jc w:val="center"/>
              <w:rPr>
                <w:rFonts w:hint="eastAsia"/>
                <w:sz w:val="24"/>
                <w:szCs w:val="24"/>
              </w:rPr>
            </w:pPr>
            <w:r>
              <w:rPr>
                <w:rFonts w:hint="eastAsia"/>
                <w:sz w:val="24"/>
                <w:szCs w:val="24"/>
              </w:rPr>
              <w:t>基础条件</w:t>
            </w:r>
          </w:p>
        </w:tc>
        <w:tc>
          <w:tcPr>
            <w:tcW w:w="1517" w:type="dxa"/>
            <w:vAlign w:val="center"/>
          </w:tcPr>
          <w:p w:rsidR="001C046B" w:rsidRDefault="001C046B" w:rsidP="008B1A95">
            <w:pPr>
              <w:jc w:val="center"/>
              <w:rPr>
                <w:rFonts w:hint="eastAsia"/>
                <w:sz w:val="24"/>
                <w:szCs w:val="24"/>
              </w:rPr>
            </w:pPr>
            <w:r>
              <w:rPr>
                <w:rFonts w:hint="eastAsia"/>
                <w:sz w:val="24"/>
                <w:szCs w:val="24"/>
              </w:rPr>
              <w:t>办学经费</w:t>
            </w:r>
          </w:p>
        </w:tc>
        <w:tc>
          <w:tcPr>
            <w:tcW w:w="6013" w:type="dxa"/>
            <w:vAlign w:val="center"/>
          </w:tcPr>
          <w:p w:rsidR="001C046B" w:rsidRDefault="001C046B" w:rsidP="008B1A95">
            <w:pPr>
              <w:rPr>
                <w:rFonts w:hint="eastAsia"/>
                <w:sz w:val="24"/>
                <w:szCs w:val="24"/>
              </w:rPr>
            </w:pPr>
            <w:r>
              <w:rPr>
                <w:rFonts w:hint="eastAsia"/>
                <w:sz w:val="24"/>
                <w:szCs w:val="24"/>
              </w:rPr>
              <w:t>办学经费需具有稳定、可靠的来源和切实的保证，生均经费持续增长，能满足人才培养需要。</w:t>
            </w:r>
          </w:p>
        </w:tc>
      </w:tr>
      <w:tr w:rsidR="001C046B" w:rsidTr="008B1A95">
        <w:trPr>
          <w:cantSplit/>
          <w:trHeight w:val="969"/>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科学研究</w:t>
            </w:r>
          </w:p>
        </w:tc>
        <w:tc>
          <w:tcPr>
            <w:tcW w:w="6013" w:type="dxa"/>
            <w:vAlign w:val="center"/>
          </w:tcPr>
          <w:p w:rsidR="001C046B" w:rsidRDefault="001C046B" w:rsidP="008B1A95">
            <w:pPr>
              <w:rPr>
                <w:rFonts w:eastAsia="仿宋_GB2312" w:hint="eastAsia"/>
                <w:sz w:val="24"/>
                <w:szCs w:val="24"/>
              </w:rPr>
            </w:pPr>
            <w:r>
              <w:rPr>
                <w:rFonts w:hint="eastAsia"/>
                <w:sz w:val="24"/>
                <w:szCs w:val="24"/>
              </w:rPr>
              <w:t>具有较高的科学研究水平，能满足人才培养需要，科研经费充足，有一定数量的科研项目。</w:t>
            </w:r>
          </w:p>
        </w:tc>
      </w:tr>
      <w:tr w:rsidR="001C046B" w:rsidTr="008B1A95">
        <w:trPr>
          <w:cantSplit/>
          <w:trHeight w:val="1665"/>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办学用房</w:t>
            </w:r>
          </w:p>
        </w:tc>
        <w:tc>
          <w:tcPr>
            <w:tcW w:w="6013" w:type="dxa"/>
            <w:vAlign w:val="center"/>
          </w:tcPr>
          <w:p w:rsidR="001C046B" w:rsidRDefault="001C046B" w:rsidP="008B1A95">
            <w:pPr>
              <w:rPr>
                <w:rFonts w:hint="eastAsia"/>
                <w:sz w:val="24"/>
                <w:szCs w:val="24"/>
              </w:rPr>
            </w:pPr>
            <w:r>
              <w:rPr>
                <w:rFonts w:hint="eastAsia"/>
                <w:sz w:val="24"/>
                <w:szCs w:val="24"/>
              </w:rPr>
              <w:t>各类功能的教室齐备，能满足教学需要；其他相关校舍满足人才培养的需要。生均占地面积、生均校舍建筑面积、生均教学行政用房面积等指标不低于教育部《普通本科学校设置暂行规定》中有关要求。</w:t>
            </w:r>
          </w:p>
        </w:tc>
      </w:tr>
      <w:tr w:rsidR="001C046B" w:rsidTr="008B1A95">
        <w:trPr>
          <w:cantSplit/>
          <w:trHeight w:val="1548"/>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仪器设备</w:t>
            </w:r>
          </w:p>
        </w:tc>
        <w:tc>
          <w:tcPr>
            <w:tcW w:w="6013" w:type="dxa"/>
            <w:vAlign w:val="center"/>
          </w:tcPr>
          <w:p w:rsidR="001C046B" w:rsidRDefault="001C046B" w:rsidP="008B1A95">
            <w:pPr>
              <w:rPr>
                <w:rFonts w:hint="eastAsia"/>
                <w:sz w:val="24"/>
                <w:szCs w:val="24"/>
              </w:rPr>
            </w:pPr>
            <w:r>
              <w:rPr>
                <w:rFonts w:hint="eastAsia"/>
                <w:sz w:val="24"/>
                <w:szCs w:val="24"/>
              </w:rPr>
              <w:t>教学科研仪器设备充足、先进、利用率高，在本科人才培养中能发挥较好作用。生均教学科研仪器设备值不低于教育部《普通本科学校设置暂行规定》中有关要求；新增教学科研仪器设备占一定比例。</w:t>
            </w:r>
          </w:p>
        </w:tc>
      </w:tr>
      <w:tr w:rsidR="001C046B" w:rsidTr="008B1A95">
        <w:trPr>
          <w:cantSplit/>
          <w:trHeight w:val="1246"/>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图书资料</w:t>
            </w:r>
          </w:p>
        </w:tc>
        <w:tc>
          <w:tcPr>
            <w:tcW w:w="6013" w:type="dxa"/>
            <w:vAlign w:val="center"/>
          </w:tcPr>
          <w:p w:rsidR="001C046B" w:rsidRDefault="001C046B" w:rsidP="008B1A95">
            <w:pPr>
              <w:rPr>
                <w:rFonts w:hint="eastAsia"/>
                <w:sz w:val="24"/>
                <w:szCs w:val="24"/>
              </w:rPr>
            </w:pPr>
            <w:r>
              <w:rPr>
                <w:rFonts w:hint="eastAsia"/>
                <w:sz w:val="24"/>
                <w:szCs w:val="24"/>
              </w:rPr>
              <w:t>建有现代电子图书系统和计算机网络服务系统，管理手段先进，生均适用图书不低于教育部《普通本科学校设置暂行规定》中有关要求。</w:t>
            </w:r>
          </w:p>
        </w:tc>
      </w:tr>
      <w:tr w:rsidR="001C046B" w:rsidTr="008B1A95">
        <w:trPr>
          <w:cantSplit/>
          <w:trHeight w:val="2071"/>
          <w:jc w:val="center"/>
        </w:trPr>
        <w:tc>
          <w:tcPr>
            <w:tcW w:w="1534" w:type="dxa"/>
            <w:vMerge/>
            <w:vAlign w:val="center"/>
          </w:tcPr>
          <w:p w:rsidR="001C046B" w:rsidRDefault="001C046B" w:rsidP="008B1A95">
            <w:pPr>
              <w:jc w:val="center"/>
              <w:rPr>
                <w:rFonts w:hint="eastAsia"/>
                <w:sz w:val="24"/>
                <w:szCs w:val="24"/>
              </w:rPr>
            </w:pPr>
          </w:p>
        </w:tc>
        <w:tc>
          <w:tcPr>
            <w:tcW w:w="1517" w:type="dxa"/>
            <w:vAlign w:val="center"/>
          </w:tcPr>
          <w:p w:rsidR="001C046B" w:rsidRDefault="001C046B" w:rsidP="008B1A95">
            <w:pPr>
              <w:jc w:val="center"/>
              <w:rPr>
                <w:rFonts w:hint="eastAsia"/>
                <w:sz w:val="24"/>
                <w:szCs w:val="24"/>
              </w:rPr>
            </w:pPr>
            <w:r>
              <w:rPr>
                <w:rFonts w:hint="eastAsia"/>
                <w:sz w:val="24"/>
                <w:szCs w:val="24"/>
              </w:rPr>
              <w:t>实习实践</w:t>
            </w:r>
          </w:p>
          <w:p w:rsidR="001C046B" w:rsidRDefault="001C046B" w:rsidP="008B1A95">
            <w:pPr>
              <w:jc w:val="center"/>
              <w:rPr>
                <w:rFonts w:hint="eastAsia"/>
                <w:sz w:val="24"/>
                <w:szCs w:val="24"/>
              </w:rPr>
            </w:pPr>
            <w:r>
              <w:rPr>
                <w:rFonts w:hint="eastAsia"/>
                <w:sz w:val="24"/>
                <w:szCs w:val="24"/>
              </w:rPr>
              <w:t>基地</w:t>
            </w:r>
          </w:p>
        </w:tc>
        <w:tc>
          <w:tcPr>
            <w:tcW w:w="6013" w:type="dxa"/>
            <w:vAlign w:val="center"/>
          </w:tcPr>
          <w:p w:rsidR="001C046B" w:rsidRDefault="001C046B" w:rsidP="008B1A95">
            <w:pPr>
              <w:rPr>
                <w:rFonts w:hint="eastAsia"/>
                <w:sz w:val="24"/>
                <w:szCs w:val="24"/>
              </w:rPr>
            </w:pPr>
            <w:r>
              <w:rPr>
                <w:rFonts w:hint="eastAsia"/>
                <w:sz w:val="24"/>
                <w:szCs w:val="24"/>
              </w:rPr>
              <w:t>各类教学实验室配备完善，设备先进，利用率高，在本科人才培养中能发挥较好作用；校内外实习基地完善，以理学、工学、农林等专业为主的学校应当有必需的教学实习工厂和农（林）场和固定的生产实习基地</w:t>
            </w:r>
            <w:r>
              <w:rPr>
                <w:rFonts w:hint="eastAsia"/>
                <w:sz w:val="24"/>
                <w:szCs w:val="24"/>
              </w:rPr>
              <w:t>;</w:t>
            </w:r>
            <w:r>
              <w:rPr>
                <w:rFonts w:hint="eastAsia"/>
                <w:sz w:val="24"/>
                <w:szCs w:val="24"/>
              </w:rPr>
              <w:t>以师范类专业为主的学校应当有附属的实验学校或固定的实习学校</w:t>
            </w:r>
            <w:r>
              <w:rPr>
                <w:rFonts w:hint="eastAsia"/>
                <w:sz w:val="24"/>
                <w:szCs w:val="24"/>
              </w:rPr>
              <w:t>;</w:t>
            </w:r>
            <w:r>
              <w:rPr>
                <w:rFonts w:hint="eastAsia"/>
                <w:sz w:val="24"/>
                <w:szCs w:val="24"/>
              </w:rPr>
              <w:t>以医学专业为主的学校至少应当有一所直属附属医院和适用需要的教学医院。</w:t>
            </w:r>
          </w:p>
        </w:tc>
      </w:tr>
      <w:tr w:rsidR="001C046B" w:rsidTr="008B1A95">
        <w:trPr>
          <w:cantSplit/>
          <w:trHeight w:val="1148"/>
          <w:jc w:val="center"/>
        </w:trPr>
        <w:tc>
          <w:tcPr>
            <w:tcW w:w="1534" w:type="dxa"/>
            <w:vMerge w:val="restart"/>
            <w:vAlign w:val="center"/>
          </w:tcPr>
          <w:p w:rsidR="001C046B" w:rsidRDefault="001C046B" w:rsidP="008B1A95">
            <w:pPr>
              <w:jc w:val="center"/>
              <w:rPr>
                <w:rFonts w:ascii="宋体" w:hAnsi="仿宋" w:cs="仿宋" w:hint="eastAsia"/>
                <w:sz w:val="24"/>
                <w:szCs w:val="24"/>
              </w:rPr>
            </w:pPr>
            <w:r>
              <w:rPr>
                <w:rFonts w:ascii="宋体" w:hAnsi="仿宋" w:cs="仿宋" w:hint="eastAsia"/>
                <w:sz w:val="24"/>
                <w:szCs w:val="24"/>
              </w:rPr>
              <w:t>教学质量</w:t>
            </w:r>
          </w:p>
        </w:tc>
        <w:tc>
          <w:tcPr>
            <w:tcW w:w="1517" w:type="dxa"/>
            <w:vAlign w:val="center"/>
          </w:tcPr>
          <w:p w:rsidR="001C046B" w:rsidRDefault="001C046B" w:rsidP="008B1A95">
            <w:pPr>
              <w:spacing w:line="0" w:lineRule="atLeast"/>
              <w:ind w:leftChars="-20" w:left="-63" w:rightChars="-50" w:right="-158"/>
              <w:jc w:val="center"/>
              <w:rPr>
                <w:rFonts w:ascii="宋体" w:hAnsi="仿宋" w:cs="仿宋" w:hint="eastAsia"/>
                <w:sz w:val="24"/>
                <w:szCs w:val="24"/>
              </w:rPr>
            </w:pPr>
            <w:r>
              <w:rPr>
                <w:rFonts w:ascii="宋体" w:hAnsi="仿宋" w:cs="仿宋" w:hint="eastAsia"/>
                <w:sz w:val="24"/>
                <w:szCs w:val="24"/>
              </w:rPr>
              <w:t>教学计划</w:t>
            </w:r>
          </w:p>
          <w:p w:rsidR="001C046B" w:rsidRDefault="001C046B" w:rsidP="008B1A95">
            <w:pPr>
              <w:spacing w:line="0" w:lineRule="atLeast"/>
              <w:ind w:leftChars="-20" w:left="-63" w:rightChars="-50" w:right="-158"/>
              <w:jc w:val="center"/>
              <w:rPr>
                <w:rFonts w:ascii="宋体" w:hAnsi="仿宋" w:cs="仿宋" w:hint="eastAsia"/>
                <w:sz w:val="24"/>
                <w:szCs w:val="24"/>
              </w:rPr>
            </w:pPr>
            <w:r>
              <w:rPr>
                <w:rFonts w:ascii="宋体" w:hAnsi="仿宋" w:cs="仿宋" w:hint="eastAsia"/>
                <w:sz w:val="24"/>
                <w:szCs w:val="24"/>
              </w:rPr>
              <w:t>与执行</w:t>
            </w:r>
          </w:p>
        </w:tc>
        <w:tc>
          <w:tcPr>
            <w:tcW w:w="6013" w:type="dxa"/>
            <w:vAlign w:val="center"/>
          </w:tcPr>
          <w:p w:rsidR="001C046B" w:rsidRDefault="001C046B" w:rsidP="001C046B">
            <w:pPr>
              <w:spacing w:beforeLines="20" w:afterLines="30" w:line="0" w:lineRule="atLeast"/>
              <w:rPr>
                <w:rFonts w:ascii="宋体" w:hAnsi="仿宋" w:cs="仿宋" w:hint="eastAsia"/>
                <w:sz w:val="24"/>
                <w:szCs w:val="24"/>
              </w:rPr>
            </w:pPr>
            <w:r>
              <w:rPr>
                <w:rFonts w:ascii="宋体" w:hAnsi="仿宋" w:cs="仿宋" w:hint="eastAsia"/>
                <w:spacing w:val="-8"/>
                <w:sz w:val="24"/>
                <w:szCs w:val="24"/>
              </w:rPr>
              <w:t>教学工作有总体思路、具体计划与配套措施，执行情况好，成效显著。</w:t>
            </w:r>
          </w:p>
        </w:tc>
      </w:tr>
      <w:tr w:rsidR="001C046B" w:rsidTr="008B1A95">
        <w:trPr>
          <w:cantSplit/>
          <w:trHeight w:val="1344"/>
          <w:jc w:val="center"/>
        </w:trPr>
        <w:tc>
          <w:tcPr>
            <w:tcW w:w="1534" w:type="dxa"/>
            <w:vMerge/>
            <w:vAlign w:val="center"/>
          </w:tcPr>
          <w:p w:rsidR="001C046B" w:rsidRDefault="001C046B" w:rsidP="008B1A95">
            <w:pPr>
              <w:jc w:val="center"/>
              <w:rPr>
                <w:rFonts w:ascii="仿宋" w:hAnsi="仿宋" w:cs="仿宋" w:hint="eastAsia"/>
                <w:sz w:val="24"/>
                <w:szCs w:val="24"/>
              </w:rPr>
            </w:pPr>
          </w:p>
        </w:tc>
        <w:tc>
          <w:tcPr>
            <w:tcW w:w="1517" w:type="dxa"/>
            <w:vAlign w:val="center"/>
          </w:tcPr>
          <w:p w:rsidR="001C046B" w:rsidRDefault="001C046B" w:rsidP="008B1A95">
            <w:pPr>
              <w:spacing w:line="0" w:lineRule="atLeast"/>
              <w:jc w:val="center"/>
              <w:rPr>
                <w:rFonts w:ascii="仿宋" w:hAnsi="仿宋" w:cs="仿宋" w:hint="eastAsia"/>
                <w:sz w:val="24"/>
                <w:szCs w:val="24"/>
              </w:rPr>
            </w:pPr>
            <w:r>
              <w:rPr>
                <w:rFonts w:ascii="仿宋" w:hAnsi="仿宋" w:cs="仿宋" w:hint="eastAsia"/>
                <w:sz w:val="24"/>
                <w:szCs w:val="24"/>
              </w:rPr>
              <w:t>教学改革与建设</w:t>
            </w:r>
          </w:p>
          <w:p w:rsidR="001C046B" w:rsidRDefault="001C046B" w:rsidP="008B1A95">
            <w:pPr>
              <w:spacing w:line="0" w:lineRule="atLeast"/>
              <w:ind w:firstLineChars="150" w:firstLine="354"/>
              <w:jc w:val="center"/>
              <w:rPr>
                <w:rFonts w:ascii="仿宋" w:hAnsi="仿宋" w:cs="仿宋" w:hint="eastAsia"/>
                <w:sz w:val="24"/>
                <w:szCs w:val="24"/>
              </w:rPr>
            </w:pPr>
            <w:r>
              <w:rPr>
                <w:rFonts w:ascii="仿宋" w:hAnsi="仿宋" w:cs="仿宋" w:hint="eastAsia"/>
                <w:sz w:val="24"/>
                <w:szCs w:val="24"/>
              </w:rPr>
              <w:t>（含课程建设）</w:t>
            </w:r>
          </w:p>
        </w:tc>
        <w:tc>
          <w:tcPr>
            <w:tcW w:w="6013" w:type="dxa"/>
            <w:vAlign w:val="center"/>
          </w:tcPr>
          <w:p w:rsidR="001C046B" w:rsidRDefault="001C046B" w:rsidP="001C046B">
            <w:pPr>
              <w:spacing w:beforeLines="20" w:afterLines="30" w:line="0" w:lineRule="atLeast"/>
              <w:rPr>
                <w:rFonts w:ascii="仿宋" w:hAnsi="仿宋" w:cs="仿宋" w:hint="eastAsia"/>
                <w:sz w:val="24"/>
                <w:szCs w:val="24"/>
              </w:rPr>
            </w:pPr>
            <w:r>
              <w:rPr>
                <w:rFonts w:ascii="仿宋" w:hAnsi="仿宋" w:cs="仿宋" w:hint="eastAsia"/>
                <w:sz w:val="24"/>
                <w:szCs w:val="24"/>
              </w:rPr>
              <w:t>总体思路清晰、有具体计划，配套措施有力，执行良好，改革成效显著。</w:t>
            </w:r>
          </w:p>
        </w:tc>
      </w:tr>
      <w:tr w:rsidR="001C046B" w:rsidTr="008B1A95">
        <w:trPr>
          <w:cantSplit/>
          <w:trHeight w:val="1177"/>
          <w:jc w:val="center"/>
        </w:trPr>
        <w:tc>
          <w:tcPr>
            <w:tcW w:w="1534" w:type="dxa"/>
            <w:vMerge w:val="restart"/>
            <w:vAlign w:val="center"/>
          </w:tcPr>
          <w:p w:rsidR="001C046B" w:rsidRDefault="001C046B" w:rsidP="008B1A95">
            <w:pPr>
              <w:jc w:val="center"/>
              <w:rPr>
                <w:rFonts w:ascii="宋体" w:hAnsi="宋体" w:cs="仿宋" w:hint="eastAsia"/>
                <w:sz w:val="24"/>
                <w:szCs w:val="24"/>
              </w:rPr>
            </w:pPr>
            <w:r>
              <w:rPr>
                <w:rFonts w:ascii="宋体" w:hAnsi="宋体" w:cs="仿宋" w:hint="eastAsia"/>
                <w:sz w:val="24"/>
                <w:szCs w:val="24"/>
              </w:rPr>
              <w:t>教学质量</w:t>
            </w:r>
          </w:p>
        </w:tc>
        <w:tc>
          <w:tcPr>
            <w:tcW w:w="1517" w:type="dxa"/>
            <w:vAlign w:val="center"/>
          </w:tcPr>
          <w:p w:rsidR="001C046B" w:rsidRDefault="001C046B" w:rsidP="008B1A95">
            <w:pPr>
              <w:spacing w:line="0" w:lineRule="atLeast"/>
              <w:jc w:val="center"/>
              <w:rPr>
                <w:rFonts w:ascii="宋体" w:hAnsi="宋体" w:cs="仿宋" w:hint="eastAsia"/>
                <w:sz w:val="24"/>
                <w:szCs w:val="24"/>
              </w:rPr>
            </w:pPr>
            <w:r>
              <w:rPr>
                <w:rFonts w:ascii="宋体" w:hAnsi="宋体" w:cs="仿宋" w:hint="eastAsia"/>
                <w:sz w:val="24"/>
                <w:szCs w:val="24"/>
              </w:rPr>
              <w:t>教材建设</w:t>
            </w:r>
          </w:p>
        </w:tc>
        <w:tc>
          <w:tcPr>
            <w:tcW w:w="6013" w:type="dxa"/>
            <w:vAlign w:val="center"/>
          </w:tcPr>
          <w:p w:rsidR="001C046B" w:rsidRDefault="001C046B" w:rsidP="001C046B">
            <w:pPr>
              <w:spacing w:beforeLines="20" w:afterLines="30" w:line="0" w:lineRule="atLeast"/>
              <w:rPr>
                <w:rFonts w:ascii="宋体" w:hAnsi="宋体" w:cs="仿宋" w:hint="eastAsia"/>
                <w:sz w:val="24"/>
                <w:szCs w:val="24"/>
              </w:rPr>
            </w:pPr>
            <w:r>
              <w:rPr>
                <w:rFonts w:ascii="宋体" w:hAnsi="宋体" w:cs="仿宋" w:hint="eastAsia"/>
                <w:sz w:val="24"/>
                <w:szCs w:val="24"/>
              </w:rPr>
              <w:t>教材建设有规划、有保障，使用一定数量的获省、部级及以上奖励的教材，积极引进先进、适用的教材。</w:t>
            </w:r>
          </w:p>
        </w:tc>
      </w:tr>
      <w:tr w:rsidR="001C046B" w:rsidTr="008B1A95">
        <w:trPr>
          <w:cantSplit/>
          <w:trHeight w:val="1638"/>
          <w:jc w:val="center"/>
        </w:trPr>
        <w:tc>
          <w:tcPr>
            <w:tcW w:w="1534" w:type="dxa"/>
            <w:vMerge/>
            <w:vAlign w:val="center"/>
          </w:tcPr>
          <w:p w:rsidR="001C046B" w:rsidRDefault="001C046B" w:rsidP="008B1A95">
            <w:pPr>
              <w:jc w:val="center"/>
              <w:rPr>
                <w:rFonts w:ascii="宋体" w:hAnsi="宋体" w:cs="仿宋" w:hint="eastAsia"/>
                <w:sz w:val="24"/>
                <w:szCs w:val="24"/>
              </w:rPr>
            </w:pPr>
          </w:p>
        </w:tc>
        <w:tc>
          <w:tcPr>
            <w:tcW w:w="1517" w:type="dxa"/>
            <w:vAlign w:val="center"/>
          </w:tcPr>
          <w:p w:rsidR="001C046B" w:rsidRDefault="001C046B" w:rsidP="008B1A95">
            <w:pPr>
              <w:spacing w:line="0" w:lineRule="atLeast"/>
              <w:jc w:val="center"/>
              <w:rPr>
                <w:rFonts w:ascii="宋体" w:hAnsi="宋体" w:cs="仿宋" w:hint="eastAsia"/>
                <w:sz w:val="24"/>
                <w:szCs w:val="24"/>
              </w:rPr>
            </w:pPr>
            <w:r>
              <w:rPr>
                <w:rFonts w:ascii="宋体" w:hAnsi="宋体" w:cs="仿宋" w:hint="eastAsia"/>
                <w:sz w:val="24"/>
                <w:szCs w:val="24"/>
              </w:rPr>
              <w:t>实践教学</w:t>
            </w:r>
          </w:p>
        </w:tc>
        <w:tc>
          <w:tcPr>
            <w:tcW w:w="6013" w:type="dxa"/>
            <w:vAlign w:val="center"/>
          </w:tcPr>
          <w:p w:rsidR="001C046B" w:rsidRDefault="001C046B" w:rsidP="001C046B">
            <w:pPr>
              <w:spacing w:beforeLines="20" w:afterLines="30" w:line="0" w:lineRule="atLeast"/>
              <w:rPr>
                <w:rFonts w:ascii="宋体" w:hAnsi="宋体" w:cs="仿宋" w:hint="eastAsia"/>
                <w:sz w:val="24"/>
                <w:szCs w:val="24"/>
              </w:rPr>
            </w:pPr>
            <w:r>
              <w:rPr>
                <w:rFonts w:ascii="宋体" w:hAnsi="宋体" w:cs="仿宋" w:hint="eastAsia"/>
                <w:sz w:val="24"/>
                <w:szCs w:val="24"/>
              </w:rPr>
              <w:t>注意内容更新，体系设计科学合理，符合培养目标要求，创造条件使学生较早地参加科研和创新活动；实验室开放时间长，开放范围及覆盖面广,效果好。教学大纲要求的实验开出率高。</w:t>
            </w:r>
          </w:p>
        </w:tc>
      </w:tr>
      <w:tr w:rsidR="001C046B" w:rsidTr="008B1A95">
        <w:trPr>
          <w:cantSplit/>
          <w:trHeight w:val="995"/>
          <w:jc w:val="center"/>
        </w:trPr>
        <w:tc>
          <w:tcPr>
            <w:tcW w:w="1534" w:type="dxa"/>
            <w:vMerge w:val="restart"/>
            <w:vAlign w:val="center"/>
          </w:tcPr>
          <w:p w:rsidR="001C046B" w:rsidRDefault="001C046B" w:rsidP="008B1A95">
            <w:pPr>
              <w:jc w:val="center"/>
              <w:rPr>
                <w:rFonts w:ascii="宋体" w:hAnsi="宋体" w:hint="eastAsia"/>
                <w:sz w:val="24"/>
                <w:szCs w:val="24"/>
              </w:rPr>
            </w:pPr>
            <w:r>
              <w:rPr>
                <w:rFonts w:ascii="宋体" w:hAnsi="宋体" w:hint="eastAsia"/>
                <w:sz w:val="24"/>
                <w:szCs w:val="24"/>
              </w:rPr>
              <w:lastRenderedPageBreak/>
              <w:t>管理体系</w:t>
            </w:r>
          </w:p>
        </w:tc>
        <w:tc>
          <w:tcPr>
            <w:tcW w:w="1517" w:type="dxa"/>
            <w:vAlign w:val="center"/>
          </w:tcPr>
          <w:p w:rsidR="001C046B" w:rsidRDefault="001C046B" w:rsidP="008B1A95">
            <w:pPr>
              <w:jc w:val="center"/>
              <w:rPr>
                <w:rFonts w:ascii="宋体" w:hAnsi="宋体" w:hint="eastAsia"/>
                <w:sz w:val="24"/>
                <w:szCs w:val="24"/>
              </w:rPr>
            </w:pPr>
            <w:r>
              <w:rPr>
                <w:rFonts w:ascii="宋体" w:hAnsi="宋体" w:hint="eastAsia"/>
                <w:sz w:val="24"/>
                <w:szCs w:val="24"/>
              </w:rPr>
              <w:t>管理队伍</w:t>
            </w:r>
          </w:p>
        </w:tc>
        <w:tc>
          <w:tcPr>
            <w:tcW w:w="6013" w:type="dxa"/>
            <w:vAlign w:val="center"/>
          </w:tcPr>
          <w:p w:rsidR="001C046B" w:rsidRDefault="001C046B" w:rsidP="008B1A95">
            <w:pPr>
              <w:rPr>
                <w:rFonts w:ascii="宋体" w:hAnsi="宋体" w:hint="eastAsia"/>
                <w:sz w:val="24"/>
                <w:szCs w:val="24"/>
              </w:rPr>
            </w:pPr>
            <w:r>
              <w:rPr>
                <w:rFonts w:ascii="宋体" w:hAnsi="宋体" w:hint="eastAsia"/>
                <w:sz w:val="24"/>
                <w:szCs w:val="24"/>
              </w:rPr>
              <w:t>设置专门的管理机构，设置合理；管理人员齐全，职责明确，工作协调，队伍稳定，服务意识强。</w:t>
            </w:r>
          </w:p>
        </w:tc>
      </w:tr>
      <w:tr w:rsidR="001C046B" w:rsidTr="008B1A95">
        <w:trPr>
          <w:cantSplit/>
          <w:trHeight w:val="1218"/>
          <w:jc w:val="center"/>
        </w:trPr>
        <w:tc>
          <w:tcPr>
            <w:tcW w:w="1534" w:type="dxa"/>
            <w:vMerge/>
            <w:vAlign w:val="center"/>
          </w:tcPr>
          <w:p w:rsidR="001C046B" w:rsidRDefault="001C046B" w:rsidP="008B1A95">
            <w:pPr>
              <w:jc w:val="center"/>
              <w:rPr>
                <w:rFonts w:ascii="宋体" w:hAnsi="宋体" w:hint="eastAsia"/>
                <w:sz w:val="24"/>
                <w:szCs w:val="24"/>
              </w:rPr>
            </w:pPr>
          </w:p>
        </w:tc>
        <w:tc>
          <w:tcPr>
            <w:tcW w:w="1517" w:type="dxa"/>
            <w:vAlign w:val="center"/>
          </w:tcPr>
          <w:p w:rsidR="001C046B" w:rsidRDefault="001C046B" w:rsidP="008B1A95">
            <w:pPr>
              <w:jc w:val="center"/>
              <w:rPr>
                <w:rFonts w:ascii="宋体" w:hAnsi="宋体" w:hint="eastAsia"/>
                <w:sz w:val="24"/>
                <w:szCs w:val="24"/>
              </w:rPr>
            </w:pPr>
            <w:r>
              <w:rPr>
                <w:rFonts w:ascii="宋体" w:hAnsi="宋体" w:hint="eastAsia"/>
                <w:sz w:val="24"/>
                <w:szCs w:val="24"/>
              </w:rPr>
              <w:t>规章制度</w:t>
            </w:r>
          </w:p>
        </w:tc>
        <w:tc>
          <w:tcPr>
            <w:tcW w:w="6013" w:type="dxa"/>
            <w:vAlign w:val="center"/>
          </w:tcPr>
          <w:p w:rsidR="001C046B" w:rsidRDefault="001C046B" w:rsidP="008B1A95">
            <w:pPr>
              <w:rPr>
                <w:rFonts w:ascii="宋体" w:hAnsi="宋体" w:hint="eastAsia"/>
                <w:sz w:val="24"/>
                <w:szCs w:val="24"/>
              </w:rPr>
            </w:pPr>
            <w:r>
              <w:rPr>
                <w:rFonts w:ascii="宋体" w:hAnsi="宋体" w:hint="eastAsia"/>
                <w:sz w:val="24"/>
                <w:szCs w:val="24"/>
              </w:rPr>
              <w:t>已制定学士学位授予相关规章制度，相关制度健全、规范，能保障学生培养质量。</w:t>
            </w:r>
          </w:p>
        </w:tc>
      </w:tr>
    </w:tbl>
    <w:p w:rsidR="001C046B" w:rsidRDefault="001C046B" w:rsidP="001C046B"/>
    <w:p w:rsidR="001C046B" w:rsidRDefault="001C046B" w:rsidP="001C046B">
      <w:pPr>
        <w:spacing w:line="580" w:lineRule="exact"/>
        <w:jc w:val="left"/>
        <w:rPr>
          <w:rFonts w:eastAsia="仿宋"/>
          <w:color w:val="000000"/>
        </w:rPr>
      </w:pPr>
    </w:p>
    <w:p w:rsidR="001C046B" w:rsidRDefault="001C046B" w:rsidP="001C046B">
      <w:pPr>
        <w:spacing w:line="580" w:lineRule="exact"/>
        <w:jc w:val="left"/>
        <w:rPr>
          <w:rFonts w:eastAsia="黑体"/>
          <w:color w:val="000000"/>
        </w:rPr>
      </w:pPr>
    </w:p>
    <w:p w:rsidR="001C046B" w:rsidRDefault="001C046B" w:rsidP="001C046B">
      <w:pPr>
        <w:spacing w:line="580" w:lineRule="exact"/>
        <w:jc w:val="left"/>
        <w:rPr>
          <w:rFonts w:eastAsia="黑体" w:hint="eastAsia"/>
          <w:color w:val="000000"/>
        </w:rPr>
      </w:pPr>
    </w:p>
    <w:p w:rsidR="00FD5559" w:rsidRPr="001C046B" w:rsidRDefault="001C046B"/>
    <w:sectPr w:rsidR="00FD5559" w:rsidRPr="001C046B" w:rsidSect="009D4D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46B"/>
    <w:rsid w:val="00125857"/>
    <w:rsid w:val="001C046B"/>
    <w:rsid w:val="006B2BA5"/>
    <w:rsid w:val="009D4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6B"/>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sid w:val="001C046B"/>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2021-03-03T01:57:00Z</dcterms:created>
  <dcterms:modified xsi:type="dcterms:W3CDTF">2021-03-03T01:57:00Z</dcterms:modified>
</cp:coreProperties>
</file>