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88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55"/>
        <w:gridCol w:w="2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 w:hRule="atLeast"/>
        </w:trPr>
        <w:tc>
          <w:tcPr>
            <w:tcW w:w="6555" w:type="dxa"/>
            <w:vMerge w:val="restart"/>
            <w:tcBorders>
              <w:tl2br w:val="nil"/>
              <w:tr2bl w:val="nil"/>
            </w:tcBorders>
            <w:vAlign w:val="top"/>
          </w:tcPr>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eastAsia="黑体"/>
                <w:sz w:val="30"/>
                <w:szCs w:val="30"/>
                <w:vertAlign w:val="baseline"/>
              </w:rPr>
            </w:pPr>
            <w:r>
              <w:rPr>
                <w:rFonts w:hint="eastAsia" w:eastAsia="方正小标宋简体"/>
                <w:color w:val="FF0000"/>
                <w:sz w:val="96"/>
                <w:szCs w:val="96"/>
              </w:rPr>
              <w:t>陕西省教育厅</w:t>
            </w:r>
          </w:p>
        </w:tc>
        <w:tc>
          <w:tcPr>
            <w:tcW w:w="2336" w:type="dxa"/>
            <w:tcBorders>
              <w:tl2br w:val="nil"/>
              <w:tr2bl w:val="nil"/>
            </w:tcBorders>
          </w:tcPr>
          <w:p>
            <w:pPr>
              <w:pStyle w:val="4"/>
              <w:ind w:left="6720" w:hanging="2100" w:hangingChars="700"/>
              <w:rPr>
                <w:rFonts w:hint="eastAsia" w:eastAsia="黑体"/>
                <w:sz w:val="30"/>
                <w:szCs w:val="30"/>
                <w:vertAlign w:val="baseline"/>
                <w:lang w:val="en-US" w:eastAsia="zh-CN"/>
              </w:rPr>
            </w:pPr>
            <w:r>
              <w:rPr>
                <w:rFonts w:eastAsia="黑体"/>
                <w:sz w:val="30"/>
                <w:szCs w:val="30"/>
              </w:rPr>
              <w:t>类</w:t>
            </w:r>
            <w:r>
              <w:rPr>
                <w:rFonts w:hint="eastAsia" w:eastAsia="黑体"/>
                <w:sz w:val="30"/>
                <w:szCs w:val="30"/>
              </w:rPr>
              <w:t xml:space="preserve">  </w:t>
            </w:r>
            <w:r>
              <w:rPr>
                <w:rFonts w:eastAsia="黑体"/>
                <w:sz w:val="30"/>
                <w:szCs w:val="30"/>
              </w:rPr>
              <w:t>别：</w:t>
            </w:r>
            <w:r>
              <w:rPr>
                <w:rFonts w:hint="eastAsia" w:eastAsia="黑体"/>
                <w:sz w:val="30"/>
                <w:szCs w:val="30"/>
                <w:lang w:val="en-US"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55" w:type="dxa"/>
            <w:vMerge w:val="continue"/>
            <w:tcBorders>
              <w:tl2br w:val="nil"/>
              <w:tr2bl w:val="nil"/>
            </w:tcBorders>
          </w:tcPr>
          <w:p>
            <w:pPr>
              <w:pStyle w:val="4"/>
              <w:spacing w:line="594" w:lineRule="exact"/>
              <w:rPr>
                <w:rFonts w:eastAsia="黑体"/>
                <w:sz w:val="30"/>
                <w:szCs w:val="30"/>
                <w:vertAlign w:val="baseline"/>
              </w:rPr>
            </w:pPr>
          </w:p>
        </w:tc>
        <w:tc>
          <w:tcPr>
            <w:tcW w:w="2336" w:type="dxa"/>
            <w:tcBorders>
              <w:tl2br w:val="nil"/>
              <w:tr2bl w:val="nil"/>
            </w:tcBorders>
          </w:tcPr>
          <w:p>
            <w:pPr>
              <w:pStyle w:val="4"/>
              <w:ind w:left="6720" w:hanging="2100" w:hangingChars="700"/>
              <w:rPr>
                <w:rFonts w:hint="eastAsia" w:eastAsia="黑体"/>
                <w:sz w:val="30"/>
                <w:szCs w:val="30"/>
                <w:vertAlign w:val="baseline"/>
                <w:lang w:eastAsia="zh-CN"/>
              </w:rPr>
            </w:pPr>
            <w:r>
              <w:rPr>
                <w:rFonts w:ascii="Times New Roman" w:hAnsi="Times New Roman" w:eastAsia="黑体"/>
                <w:kern w:val="2"/>
                <w:sz w:val="30"/>
                <w:szCs w:val="30"/>
              </w:rPr>
              <w:t>签发人：</w:t>
            </w:r>
            <w:r>
              <w:rPr>
                <w:rFonts w:hint="eastAsia" w:ascii="Times New Roman" w:hAnsi="Times New Roman" w:eastAsia="仿宋_GB2312"/>
                <w:sz w:val="30"/>
                <w:szCs w:val="30"/>
                <w:lang w:val="en-US" w:eastAsia="zh-CN"/>
              </w:rPr>
              <w:t>刘建林</w:t>
            </w:r>
          </w:p>
        </w:tc>
      </w:tr>
    </w:tbl>
    <w:tbl>
      <w:tblPr>
        <w:tblStyle w:val="9"/>
        <w:tblW w:w="9000" w:type="dxa"/>
        <w:jc w:val="center"/>
        <w:tblInd w:w="0" w:type="dxa"/>
        <w:tblBorders>
          <w:top w:val="thinThickSmallGap" w:color="FF0000"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0"/>
      </w:tblGrid>
      <w:tr>
        <w:tblPrEx>
          <w:tblBorders>
            <w:top w:val="thinThickSmallGap" w:color="FF0000"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4" w:hRule="atLeast"/>
          <w:jc w:val="center"/>
        </w:trPr>
        <w:tc>
          <w:tcPr>
            <w:tcW w:w="9000" w:type="dxa"/>
          </w:tcPr>
          <w:p>
            <w:pPr>
              <w:pStyle w:val="4"/>
              <w:rPr>
                <w:rFonts w:ascii="Times New Roman" w:hAnsi="Times New Roman" w:eastAsia="仿宋_GB2312"/>
                <w:sz w:val="30"/>
                <w:szCs w:val="30"/>
              </w:rPr>
            </w:pP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陕教函</w:t>
            </w:r>
            <w:r>
              <w:rPr>
                <w:rFonts w:ascii="Times New Roman" w:hAnsi="Times New Roman" w:eastAsia="仿宋_GB2312"/>
                <w:sz w:val="30"/>
                <w:szCs w:val="30"/>
              </w:rPr>
              <w:t>〔20</w:t>
            </w:r>
            <w:r>
              <w:rPr>
                <w:rFonts w:hint="eastAsia" w:ascii="Times New Roman" w:hAnsi="Times New Roman" w:eastAsia="仿宋_GB2312"/>
                <w:sz w:val="30"/>
                <w:szCs w:val="30"/>
              </w:rPr>
              <w:t>21</w:t>
            </w:r>
            <w:r>
              <w:rPr>
                <w:rFonts w:ascii="Times New Roman" w:hAnsi="Times New Roman" w:eastAsia="仿宋_GB2312"/>
                <w:sz w:val="30"/>
                <w:szCs w:val="30"/>
              </w:rPr>
              <w:t>〕</w:t>
            </w:r>
            <w:r>
              <w:rPr>
                <w:rFonts w:hint="eastAsia" w:ascii="Times New Roman" w:hAnsi="Times New Roman" w:eastAsia="仿宋_GB2312"/>
                <w:sz w:val="30"/>
                <w:szCs w:val="30"/>
                <w:lang w:val="en-US" w:eastAsia="zh-CN"/>
              </w:rPr>
              <w:t>509</w:t>
            </w:r>
            <w:r>
              <w:rPr>
                <w:rFonts w:ascii="Times New Roman" w:hAnsi="Times New Roman" w:eastAsia="仿宋_GB2312"/>
                <w:sz w:val="30"/>
                <w:szCs w:val="30"/>
              </w:rPr>
              <w:t>号</w:t>
            </w:r>
          </w:p>
          <w:p>
            <w:pPr>
              <w:pStyle w:val="4"/>
              <w:rPr>
                <w:rFonts w:ascii="Times New Roman" w:hAnsi="Times New Roman" w:eastAsia="仿宋_GB2312"/>
                <w:sz w:val="32"/>
                <w:szCs w:val="32"/>
              </w:rPr>
            </w:pPr>
          </w:p>
        </w:tc>
      </w:tr>
    </w:tbl>
    <w:p>
      <w:pPr>
        <w:pStyle w:val="4"/>
        <w:spacing w:line="500" w:lineRule="exact"/>
        <w:jc w:val="center"/>
        <w:rPr>
          <w:rFonts w:hint="eastAsia" w:ascii="方正小标宋简体" w:hAnsi="方正小标宋简体" w:eastAsia="方正小标宋简体" w:cs="方正小标宋简体"/>
          <w:spacing w:val="-23"/>
          <w:sz w:val="44"/>
          <w:szCs w:val="44"/>
        </w:rPr>
      </w:pPr>
    </w:p>
    <w:p>
      <w:pPr>
        <w:pStyle w:val="4"/>
        <w:keepNext w:val="0"/>
        <w:keepLines w:val="0"/>
        <w:pageBreakBefore w:val="0"/>
        <w:kinsoku/>
        <w:wordWrap/>
        <w:overflowPunct/>
        <w:topLinePunct w:val="0"/>
        <w:autoSpaceDE/>
        <w:autoSpaceDN/>
        <w:bidi w:val="0"/>
        <w:spacing w:line="339" w:lineRule="auto"/>
        <w:jc w:val="center"/>
        <w:textAlignment w:val="auto"/>
        <w:rPr>
          <w:rFonts w:hint="eastAsia" w:ascii="方正小标宋简体" w:hAnsi="方正小标宋简体" w:eastAsia="方正小标宋简体" w:cs="方正小标宋简体"/>
          <w:spacing w:val="-23"/>
          <w:sz w:val="44"/>
          <w:szCs w:val="44"/>
        </w:rPr>
      </w:pPr>
      <w:r>
        <w:rPr>
          <w:rFonts w:hint="eastAsia" w:ascii="方正小标宋简体" w:hAnsi="方正小标宋简体" w:eastAsia="方正小标宋简体" w:cs="方正小标宋简体"/>
          <w:spacing w:val="-23"/>
          <w:sz w:val="44"/>
          <w:szCs w:val="44"/>
        </w:rPr>
        <w:t>对省十二届政协四次会议第</w:t>
      </w:r>
      <w:r>
        <w:rPr>
          <w:rFonts w:hint="eastAsia" w:ascii="方正小标宋简体" w:hAnsi="方正小标宋简体" w:eastAsia="方正小标宋简体" w:cs="方正小标宋简体"/>
          <w:spacing w:val="-23"/>
          <w:sz w:val="44"/>
          <w:szCs w:val="44"/>
          <w:lang w:val="en-US" w:eastAsia="zh-CN"/>
        </w:rPr>
        <w:t>922</w:t>
      </w:r>
      <w:r>
        <w:rPr>
          <w:rFonts w:hint="eastAsia" w:ascii="方正小标宋简体" w:hAnsi="方正小标宋简体" w:eastAsia="方正小标宋简体" w:cs="方正小标宋简体"/>
          <w:spacing w:val="-23"/>
          <w:sz w:val="44"/>
          <w:szCs w:val="44"/>
        </w:rPr>
        <w:t>号提案的答复函</w:t>
      </w:r>
    </w:p>
    <w:p>
      <w:pPr>
        <w:pStyle w:val="4"/>
        <w:keepNext w:val="0"/>
        <w:keepLines w:val="0"/>
        <w:pageBreakBefore w:val="0"/>
        <w:kinsoku/>
        <w:wordWrap/>
        <w:overflowPunct/>
        <w:topLinePunct w:val="0"/>
        <w:autoSpaceDE/>
        <w:autoSpaceDN/>
        <w:bidi w:val="0"/>
        <w:spacing w:line="339" w:lineRule="auto"/>
        <w:jc w:val="center"/>
        <w:textAlignment w:val="auto"/>
        <w:rPr>
          <w:rFonts w:hint="default" w:ascii="Times New Roman" w:hAnsi="Times New Roman" w:eastAsia="仿宋_GB2312" w:cs="Times New Roman"/>
          <w:sz w:val="32"/>
          <w:szCs w:val="32"/>
        </w:rPr>
      </w:pPr>
    </w:p>
    <w:p>
      <w:pPr>
        <w:pStyle w:val="4"/>
        <w:keepNext w:val="0"/>
        <w:keepLines w:val="0"/>
        <w:pageBreakBefore w:val="0"/>
        <w:widowControl/>
        <w:kinsoku/>
        <w:wordWrap/>
        <w:overflowPunct/>
        <w:topLinePunct w:val="0"/>
        <w:autoSpaceDE/>
        <w:autoSpaceDN/>
        <w:bidi w:val="0"/>
        <w:adjustRightInd w:val="0"/>
        <w:snapToGrid w:val="0"/>
        <w:spacing w:line="339"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谭敏</w:t>
      </w:r>
      <w:r>
        <w:rPr>
          <w:rFonts w:hint="default" w:ascii="Times New Roman" w:hAnsi="Times New Roman" w:eastAsia="仿宋_GB2312" w:cs="Times New Roman"/>
          <w:sz w:val="32"/>
          <w:szCs w:val="32"/>
        </w:rPr>
        <w:t>委员：</w:t>
      </w:r>
    </w:p>
    <w:p>
      <w:pPr>
        <w:pStyle w:val="4"/>
        <w:keepNext w:val="0"/>
        <w:keepLines w:val="0"/>
        <w:pageBreakBefore w:val="0"/>
        <w:widowControl/>
        <w:kinsoku/>
        <w:wordWrap/>
        <w:overflowPunct/>
        <w:topLinePunct w:val="0"/>
        <w:autoSpaceDE/>
        <w:autoSpaceDN/>
        <w:bidi w:val="0"/>
        <w:adjustRightInd w:val="0"/>
        <w:snapToGrid w:val="0"/>
        <w:spacing w:line="339"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您提出的《关于</w:t>
      </w:r>
      <w:r>
        <w:rPr>
          <w:rFonts w:hint="default" w:ascii="Times New Roman" w:hAnsi="Times New Roman" w:eastAsia="仿宋_GB2312" w:cs="Times New Roman"/>
          <w:sz w:val="32"/>
          <w:szCs w:val="32"/>
          <w:lang w:val="en-US" w:eastAsia="zh-CN"/>
        </w:rPr>
        <w:t>竞技体育项目进校园的建议</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val="en-US" w:eastAsia="zh-CN"/>
        </w:rPr>
        <w:t>922</w:t>
      </w:r>
      <w:r>
        <w:rPr>
          <w:rFonts w:hint="default" w:ascii="Times New Roman" w:hAnsi="Times New Roman" w:eastAsia="仿宋_GB2312" w:cs="Times New Roman"/>
          <w:sz w:val="32"/>
          <w:szCs w:val="32"/>
        </w:rPr>
        <w:t>号）收悉。现答复如下：</w:t>
      </w:r>
    </w:p>
    <w:p>
      <w:pPr>
        <w:pStyle w:val="4"/>
        <w:keepNext w:val="0"/>
        <w:keepLines w:val="0"/>
        <w:pageBreakBefore w:val="0"/>
        <w:widowControl/>
        <w:kinsoku/>
        <w:wordWrap/>
        <w:overflowPunct/>
        <w:topLinePunct w:val="0"/>
        <w:autoSpaceDE/>
        <w:autoSpaceDN/>
        <w:bidi w:val="0"/>
        <w:adjustRightInd w:val="0"/>
        <w:snapToGrid w:val="0"/>
        <w:spacing w:line="339"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非常感谢您对体育工作的关心与支持。收到提案后，我们认真梳理和反思教育系统在竞技体育项目进校园方面开展的工作，认为您对竞技体育工作的现状、存在问题分析的准确客观，提出的建议合理可行，对解决竞技体育项目进校园方面工作中存在的问题具有重要的借鉴意义。</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339"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一、关于“学校教学融入竞技体育元素”的问题</w:t>
      </w:r>
    </w:p>
    <w:p>
      <w:pPr>
        <w:pStyle w:val="4"/>
        <w:keepNext w:val="0"/>
        <w:keepLines w:val="0"/>
        <w:pageBreakBefore w:val="0"/>
        <w:widowControl/>
        <w:kinsoku/>
        <w:wordWrap/>
        <w:overflowPunct/>
        <w:topLinePunct w:val="0"/>
        <w:autoSpaceDE/>
        <w:autoSpaceDN/>
        <w:bidi w:val="0"/>
        <w:adjustRightInd w:val="0"/>
        <w:snapToGrid w:val="0"/>
        <w:spacing w:line="339" w:lineRule="auto"/>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该建议已被采纳。竞技体育即为比赛性的体育活动。学校体育是竞技体育后备人才培养的基础。目前，我省中小学校体育课上课内容严格按照教育部发布的课程计划和教学大纲执行。2008年教育部印发《中小学健康教育指导纲要》，明确规定了中小学不同教育阶段健康教育目标、内容、实施途径及保障机制。为不断提升健康教育质量，课程改革的逐步深化起到了关键性作用。在深化体育与健康课程改革方面，出台了诸多相关政策，明确提出了对健康教育改革与发展的要求。《国务院办公厅关于强化学校体育促进学生身心健康全面发展的意见》（国办发〔2016〕27号）中要求各地中小学校要按照国家课程方案和课程标准开足开好体育与健康课程，体育教学要加强健康知识教育，体育课程考核要突出过程管理，从健康知识、体质健康等多方面进行全面评价。下一步，省教育厅将聚焦提升学生核心素养，完善“健康知识+基本运动技能+专项运动技能”的体育教学模式，构建大中小幼相衔接的体育课程内容体系，突出地方特色和学校传统。</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339"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二、关于“学校多组织和举办竞技体育相关活动”的问题</w:t>
      </w:r>
    </w:p>
    <w:p>
      <w:pPr>
        <w:pStyle w:val="4"/>
        <w:keepNext w:val="0"/>
        <w:keepLines w:val="0"/>
        <w:pageBreakBefore w:val="0"/>
        <w:widowControl/>
        <w:kinsoku/>
        <w:wordWrap/>
        <w:overflowPunct/>
        <w:topLinePunct w:val="0"/>
        <w:autoSpaceDE/>
        <w:autoSpaceDN/>
        <w:bidi w:val="0"/>
        <w:adjustRightInd w:val="0"/>
        <w:snapToGrid w:val="0"/>
        <w:spacing w:line="339" w:lineRule="auto"/>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该建议已被采纳。2016年，省政府出台了《关于强化学校体育促进学生身心健康全面发展的实施意见》（陕政办发〔2016〕111号），对深化教体结合做了明确要求，教育部门要会同体育部门建设常态化的校园体育竞赛机制。省教育厅每3年举办一届综合性中学生运动会、每年举办一届大学生田径运动会和省级专项阳光体育竞赛活动。市、县、区定期举办综合性学生运动会，每年举办专项阳光体育竞赛活动。各级各类学校每年要定期举办春、秋季运动会或体育文化节，组建运动队、俱乐部、兴趣小组并开展班际、校际比赛等形式的课余体育训练。目前，我省每年联合省体育局制定陕西省学生体育竞赛活动计划，所有赛事均在校园举办，每年吸引很多学生观赛参加志愿服务。下一步，省教育厅将积极推动“教会、勤练、常赛”的学校体育模式，建立以竞赛为平台，提升学生体育竞技水平。</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339"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三、关于“以体育俱乐部形式组织课外活动”的问题</w:t>
      </w:r>
    </w:p>
    <w:p>
      <w:pPr>
        <w:pStyle w:val="4"/>
        <w:keepNext w:val="0"/>
        <w:keepLines w:val="0"/>
        <w:pageBreakBefore w:val="0"/>
        <w:widowControl/>
        <w:kinsoku/>
        <w:wordWrap/>
        <w:overflowPunct/>
        <w:topLinePunct w:val="0"/>
        <w:autoSpaceDE/>
        <w:autoSpaceDN/>
        <w:bidi w:val="0"/>
        <w:adjustRightInd w:val="0"/>
        <w:snapToGrid w:val="0"/>
        <w:spacing w:line="339" w:lineRule="auto"/>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该建议已被采纳。2016年，省政府出台的《关于强化学校体育促进学生身心健康全面发展的实施意见》明确要求：鼓励社会体育俱乐部和机构进入学校，辅助学校开展体育教学和训练竞赛。各级教育行政部门要会同体育行政部门，加强对进入学校的社会体育俱乐部和机构的管理。2017年，国家体育总局、教育部发布的《关于加强竞技体育后备人才培养工作的指导意见》也明确指出：“支持学校通过创建青少年体育俱乐部、与各级各类体校联办运动队、组建校园项目联盟等形式，创新体育后备人才小学、初中、高中一条龙培养模式，打造学校特色体育项目；开展多层次、多形式的学生体育竞赛活动，共同营造校园体育文化氛围。”下一步，省教育厅将支持社会体育组织为学校体育活动提供指导，普及体育运动技能。鼓励有条件的地方，可以通过购买服务方式，与相关专业组织等合作，向中小学提供体育教育教学服务。严格执行国家制定的社会体育俱乐部进入校园准入标准，由学校自主选择合作俱乐部。</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339" w:lineRule="auto"/>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四、关于“管理部门应该相互配合发展”的问题</w:t>
      </w:r>
    </w:p>
    <w:p>
      <w:pPr>
        <w:pStyle w:val="4"/>
        <w:keepNext w:val="0"/>
        <w:keepLines w:val="0"/>
        <w:pageBreakBefore w:val="0"/>
        <w:widowControl/>
        <w:kinsoku/>
        <w:wordWrap/>
        <w:overflowPunct/>
        <w:topLinePunct w:val="0"/>
        <w:autoSpaceDE/>
        <w:autoSpaceDN/>
        <w:bidi w:val="0"/>
        <w:adjustRightInd w:val="0"/>
        <w:snapToGrid w:val="0"/>
        <w:spacing w:line="339" w:lineRule="auto"/>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该建议已被采纳。2017年，省教育厅和省体育局共同签署了《体教融合发展战略合作协议》，以推动我省体育和教育深度融合、快速发展为目标，发挥体育在增进学生体质健康方面的独特作用，强化学生体育锻炼，促进学生健康锻炼与专项训练协调发展，实现学生体质健康和竞技体育发展的新飞跃。到2025年，通过建立和完善体教结合、协同发展的长效机制，双方在2021年第十四届全国运动会筹办、学校体育教育教学与运动员培养体系、体育教师和教练员队伍建设、学生课外活动与运动员训练、阳光体育运动与青少年体育竞赛等形成平台共用、资源共享的融合发展模式。下一步，</w:t>
      </w:r>
      <w:r>
        <w:rPr>
          <w:rFonts w:hint="default" w:ascii="Times New Roman" w:hAnsi="Times New Roman" w:eastAsia="仿宋_GB2312" w:cs="Times New Roman"/>
          <w:sz w:val="32"/>
          <w:szCs w:val="32"/>
          <w:lang w:val="en-US" w:eastAsia="zh-CN"/>
        </w:rPr>
        <w:t>省教育厅将以我省承办十四届全运会为契机，继续深入贯彻国家有关文件精神，按照省政府有关部署，协同配合省体育局认真实施好体教结合的各项工作，不断深化体教结合内涵，提升体教结合水平，促进广大青少年学生的健康发展和体育事业的可持续发展。</w:t>
      </w:r>
    </w:p>
    <w:p>
      <w:pPr>
        <w:pStyle w:val="4"/>
        <w:keepNext w:val="0"/>
        <w:keepLines w:val="0"/>
        <w:pageBreakBefore w:val="0"/>
        <w:widowControl/>
        <w:kinsoku/>
        <w:wordWrap/>
        <w:overflowPunct/>
        <w:topLinePunct w:val="0"/>
        <w:autoSpaceDE/>
        <w:autoSpaceDN/>
        <w:bidi w:val="0"/>
        <w:adjustRightInd w:val="0"/>
        <w:snapToGrid w:val="0"/>
        <w:spacing w:line="339" w:lineRule="auto"/>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再次感谢您对我省体教融合工作的关心和支持，欢迎您继续对我们的工作提出宝贵意见和建议。</w:t>
      </w:r>
    </w:p>
    <w:p>
      <w:pPr>
        <w:pStyle w:val="4"/>
        <w:keepNext w:val="0"/>
        <w:keepLines w:val="0"/>
        <w:pageBreakBefore w:val="0"/>
        <w:widowControl/>
        <w:kinsoku/>
        <w:wordWrap/>
        <w:overflowPunct/>
        <w:topLinePunct w:val="0"/>
        <w:autoSpaceDE/>
        <w:autoSpaceDN/>
        <w:bidi w:val="0"/>
        <w:adjustRightInd w:val="0"/>
        <w:snapToGrid w:val="0"/>
        <w:spacing w:line="339" w:lineRule="auto"/>
        <w:textAlignment w:val="auto"/>
        <w:rPr>
          <w:rFonts w:hint="eastAsia" w:ascii="Times New Roman" w:hAnsi="Times New Roman" w:eastAsia="仿宋_GB2312" w:cs="Times New Roman"/>
          <w:sz w:val="32"/>
          <w:szCs w:val="32"/>
          <w:lang w:val="en-US" w:eastAsia="zh-CN"/>
        </w:rPr>
      </w:pPr>
    </w:p>
    <w:p>
      <w:pPr>
        <w:pStyle w:val="4"/>
        <w:keepNext w:val="0"/>
        <w:keepLines w:val="0"/>
        <w:pageBreakBefore w:val="0"/>
        <w:widowControl/>
        <w:kinsoku/>
        <w:wordWrap/>
        <w:overflowPunct/>
        <w:topLinePunct w:val="0"/>
        <w:autoSpaceDE/>
        <w:autoSpaceDN/>
        <w:bidi w:val="0"/>
        <w:adjustRightInd w:val="0"/>
        <w:snapToGrid w:val="0"/>
        <w:spacing w:line="339" w:lineRule="auto"/>
        <w:textAlignment w:val="auto"/>
        <w:rPr>
          <w:rFonts w:hint="eastAsia" w:ascii="Times New Roman" w:hAnsi="Times New Roman" w:eastAsia="仿宋_GB2312" w:cs="Times New Roman"/>
          <w:sz w:val="32"/>
          <w:szCs w:val="32"/>
          <w:lang w:val="en-US" w:eastAsia="zh-CN"/>
        </w:rPr>
      </w:pPr>
    </w:p>
    <w:p>
      <w:pPr>
        <w:pStyle w:val="4"/>
        <w:keepNext w:val="0"/>
        <w:keepLines w:val="0"/>
        <w:pageBreakBefore w:val="0"/>
        <w:widowControl/>
        <w:kinsoku/>
        <w:wordWrap/>
        <w:overflowPunct/>
        <w:topLinePunct w:val="0"/>
        <w:autoSpaceDE/>
        <w:autoSpaceDN/>
        <w:bidi w:val="0"/>
        <w:adjustRightInd w:val="0"/>
        <w:snapToGrid w:val="0"/>
        <w:spacing w:line="339" w:lineRule="auto"/>
        <w:textAlignment w:val="auto"/>
        <w:rPr>
          <w:rFonts w:hint="eastAsia" w:ascii="Times New Roman" w:hAnsi="Times New Roman" w:eastAsia="仿宋_GB2312" w:cs="Times New Roman"/>
          <w:sz w:val="32"/>
          <w:szCs w:val="32"/>
          <w:lang w:val="en-US" w:eastAsia="zh-CN"/>
        </w:rPr>
      </w:pPr>
    </w:p>
    <w:p>
      <w:pPr>
        <w:pStyle w:val="4"/>
        <w:keepNext w:val="0"/>
        <w:keepLines w:val="0"/>
        <w:pageBreakBefore w:val="0"/>
        <w:widowControl/>
        <w:kinsoku/>
        <w:wordWrap/>
        <w:overflowPunct/>
        <w:topLinePunct w:val="0"/>
        <w:autoSpaceDE/>
        <w:autoSpaceDN/>
        <w:bidi w:val="0"/>
        <w:adjustRightInd w:val="0"/>
        <w:snapToGrid w:val="0"/>
        <w:spacing w:line="339" w:lineRule="auto"/>
        <w:ind w:firstLine="5440" w:firstLineChars="17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陕西省教育厅</w:t>
      </w:r>
    </w:p>
    <w:p>
      <w:pPr>
        <w:pStyle w:val="4"/>
        <w:keepNext w:val="0"/>
        <w:keepLines w:val="0"/>
        <w:pageBreakBefore w:val="0"/>
        <w:widowControl/>
        <w:kinsoku/>
        <w:wordWrap/>
        <w:overflowPunct/>
        <w:topLinePunct w:val="0"/>
        <w:autoSpaceDE/>
        <w:autoSpaceDN/>
        <w:bidi w:val="0"/>
        <w:adjustRightInd w:val="0"/>
        <w:snapToGrid w:val="0"/>
        <w:spacing w:line="339" w:lineRule="auto"/>
        <w:ind w:firstLine="5280" w:firstLineChars="165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2021年6月11日</w:t>
      </w:r>
    </w:p>
    <w:p>
      <w:pPr>
        <w:pStyle w:val="4"/>
        <w:keepNext w:val="0"/>
        <w:keepLines w:val="0"/>
        <w:pageBreakBefore w:val="0"/>
        <w:kinsoku/>
        <w:wordWrap/>
        <w:overflowPunct/>
        <w:topLinePunct w:val="0"/>
        <w:autoSpaceDE/>
        <w:autoSpaceDN/>
        <w:bidi w:val="0"/>
        <w:spacing w:line="339" w:lineRule="auto"/>
        <w:textAlignment w:val="auto"/>
        <w:rPr>
          <w:rFonts w:eastAsia="仿宋_GB2312"/>
          <w:spacing w:val="6"/>
          <w:sz w:val="32"/>
          <w:szCs w:val="32"/>
        </w:rPr>
      </w:pPr>
      <w:bookmarkStart w:id="0" w:name="_GoBack"/>
      <w:bookmarkEnd w:id="0"/>
    </w:p>
    <w:sectPr>
      <w:footerReference r:id="rId3" w:type="default"/>
      <w:pgSz w:w="11907" w:h="16840"/>
      <w:pgMar w:top="2098" w:right="1474" w:bottom="1984" w:left="1587" w:header="283" w:footer="1701" w:gutter="170"/>
      <w:pgBorders>
        <w:top w:val="none" w:sz="0" w:space="0"/>
        <w:left w:val="none" w:sz="0" w:space="0"/>
        <w:bottom w:val="none" w:sz="0" w:space="0"/>
        <w:right w:val="none" w:sz="0" w:space="0"/>
      </w:pgBorders>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288925" cy="153035"/>
              <wp:effectExtent l="1905" t="0" r="4445" b="1905"/>
              <wp:wrapNone/>
              <wp:docPr id="4097" name="文本框 3"/>
              <wp:cNvGraphicFramePr/>
              <a:graphic xmlns:a="http://schemas.openxmlformats.org/drawingml/2006/main">
                <a:graphicData uri="http://schemas.microsoft.com/office/word/2010/wordprocessingShape">
                  <wps:wsp>
                    <wps:cNvSpPr/>
                    <wps:spPr>
                      <a:xfrm>
                        <a:off x="0" y="0"/>
                        <a:ext cx="288925" cy="153035"/>
                      </a:xfrm>
                      <a:prstGeom prst="rect">
                        <a:avLst/>
                      </a:prstGeom>
                      <a:ln>
                        <a:noFill/>
                      </a:ln>
                    </wps:spPr>
                    <wps:txbx>
                      <w:txbxContent>
                        <w:p>
                          <w:pPr>
                            <w:snapToGrid w:val="0"/>
                            <w:rPr>
                              <w:sz w:val="18"/>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t>- 8 -</w:t>
                          </w:r>
                          <w:r>
                            <w:rPr>
                              <w:rFonts w:hint="eastAsia" w:ascii="宋体" w:hAnsi="宋体" w:cs="宋体"/>
                              <w:sz w:val="24"/>
                              <w:szCs w:val="24"/>
                            </w:rPr>
                            <w:fldChar w:fldCharType="end"/>
                          </w:r>
                        </w:p>
                      </w:txbxContent>
                    </wps:txbx>
                    <wps:bodyPr vert="horz" wrap="none" lIns="0" tIns="0" rIns="0" bIns="0" anchor="t" upright="1">
                      <a:spAutoFit/>
                    </wps:bodyPr>
                  </wps:wsp>
                </a:graphicData>
              </a:graphic>
            </wp:anchor>
          </w:drawing>
        </mc:Choice>
        <mc:Fallback>
          <w:pict>
            <v:rect id="文本框 3" o:spid="_x0000_s1026" o:spt="1" style="position:absolute;left:0pt;margin-top:0pt;height:12.05pt;width:22.75pt;mso-position-horizontal:right;mso-position-horizontal-relative:margin;mso-wrap-style:none;z-index:251659264;mso-width-relative:page;mso-height-relative:page;" filled="f" stroked="f" coordsize="21600,21600" o:gfxdata="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9uBk7SAAAAAwEAAA8AAAAAAAAAAQAgAAAAIgAAAGRycy9kb3ducmV2LnhtbFBLAQIUABQA&#10;AAAIAIdO4kBGi8o8vQEAAE4DAAAOAAAAAAAAAAEAIAAAACE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t>- 8 -</w:t>
                    </w:r>
                    <w:r>
                      <w:rPr>
                        <w:rFonts w:hint="eastAsia" w:ascii="宋体" w:hAnsi="宋体" w:cs="宋体"/>
                        <w:sz w:val="24"/>
                        <w:szCs w:val="2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72"/>
    <w:rsid w:val="0001287C"/>
    <w:rsid w:val="00023932"/>
    <w:rsid w:val="001235B0"/>
    <w:rsid w:val="00193872"/>
    <w:rsid w:val="00335F71"/>
    <w:rsid w:val="00435649"/>
    <w:rsid w:val="00490B5B"/>
    <w:rsid w:val="004B13C9"/>
    <w:rsid w:val="00551726"/>
    <w:rsid w:val="005906B9"/>
    <w:rsid w:val="005A031E"/>
    <w:rsid w:val="0060684E"/>
    <w:rsid w:val="006472EB"/>
    <w:rsid w:val="009D332C"/>
    <w:rsid w:val="00A06521"/>
    <w:rsid w:val="00A141D9"/>
    <w:rsid w:val="00A724C7"/>
    <w:rsid w:val="00AD016F"/>
    <w:rsid w:val="00BA77A6"/>
    <w:rsid w:val="00C62C72"/>
    <w:rsid w:val="00CA02F8"/>
    <w:rsid w:val="00CB0845"/>
    <w:rsid w:val="00DB6B6B"/>
    <w:rsid w:val="00E45481"/>
    <w:rsid w:val="00F033BE"/>
    <w:rsid w:val="00F132E0"/>
    <w:rsid w:val="00F73756"/>
    <w:rsid w:val="00FE5D00"/>
    <w:rsid w:val="0959331A"/>
    <w:rsid w:val="0CCB0EB9"/>
    <w:rsid w:val="10296B90"/>
    <w:rsid w:val="2A5B06F1"/>
    <w:rsid w:val="3144686D"/>
    <w:rsid w:val="34365EA8"/>
    <w:rsid w:val="385219FD"/>
    <w:rsid w:val="45F34067"/>
    <w:rsid w:val="49706ADB"/>
    <w:rsid w:val="5784180D"/>
    <w:rsid w:val="61A95AAF"/>
    <w:rsid w:val="63205813"/>
    <w:rsid w:val="64292255"/>
    <w:rsid w:val="6B711BEA"/>
    <w:rsid w:val="6F812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 w:type="character" w:styleId="8">
    <w:name w:val="page number"/>
    <w:basedOn w:val="6"/>
    <w:qFormat/>
    <w:uiPriority w:val="0"/>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3"/>
    <w:qFormat/>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HTML 预设格式 Char"/>
    <w:basedOn w:val="6"/>
    <w:link w:val="4"/>
    <w:qFormat/>
    <w:uiPriority w:val="0"/>
    <w:rPr>
      <w:rFonts w:ascii="宋体" w:hAnsi="宋体" w:eastAsia="宋体" w:cs="Times New Roman"/>
      <w:kern w:val="0"/>
      <w:sz w:val="24"/>
      <w:szCs w:val="24"/>
    </w:rPr>
  </w:style>
  <w:style w:type="paragraph" w:customStyle="1" w:styleId="14">
    <w:name w:val="Char"/>
    <w:next w:val="1"/>
    <w:qFormat/>
    <w:uiPriority w:val="0"/>
    <w:pPr>
      <w:keepNext/>
      <w:keepLines/>
      <w:spacing w:before="240" w:after="240"/>
      <w:outlineLvl w:val="7"/>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357</Words>
  <Characters>2039</Characters>
  <Lines>16</Lines>
  <Paragraphs>4</Paragraphs>
  <TotalTime>8</TotalTime>
  <ScaleCrop>false</ScaleCrop>
  <LinksUpToDate>false</LinksUpToDate>
  <CharactersWithSpaces>2392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2021-04-14T16:57:00Z</dcterms:created>
  <dc:creator>Echo</dc:creator>
  <cp:lastModifiedBy>admin</cp:lastModifiedBy>
  <dcterms:modified xsi:type="dcterms:W3CDTF">2021-12-15T07:10:34Z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3F3AD6AF00AA4124864EEFE385CE5836</vt:lpwstr>
  </property>
  <property fmtid="{D5CDD505-2E9C-101B-9397-08002B2CF9AE}" pid="3" name="KSOProductBuildVer">
    <vt:lpwstr>2052-11.8.2.8053</vt:lpwstr>
  </property>
</Properties>
</file>